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74EA47">
      <w:pPr>
        <w:keepNext w:val="0"/>
        <w:keepLines w:val="0"/>
        <w:pageBreakBefore w:val="0"/>
        <w:widowControl/>
        <w:kinsoku/>
        <w:wordWrap/>
        <w:overflowPunct/>
        <w:topLinePunct w:val="0"/>
        <w:autoSpaceDE/>
        <w:autoSpaceDN/>
        <w:bidi w:val="0"/>
        <w:spacing w:line="560" w:lineRule="exact"/>
        <w:ind w:right="0"/>
        <w:jc w:val="both"/>
        <w:rPr>
          <w:rFonts w:hint="eastAsia" w:ascii="黑体" w:hAnsi="黑体" w:eastAsia="黑体" w:cs="黑体"/>
          <w:b w:val="0"/>
          <w:bCs w:val="0"/>
          <w:i w:val="0"/>
          <w:iCs w:val="0"/>
          <w:color w:val="000000"/>
          <w:kern w:val="0"/>
          <w:sz w:val="32"/>
          <w:szCs w:val="32"/>
          <w:u w:val="none"/>
          <w:lang w:val="en-US" w:eastAsia="zh-CN" w:bidi="ar"/>
        </w:rPr>
      </w:pPr>
      <w:r>
        <w:rPr>
          <w:rFonts w:hint="eastAsia" w:ascii="黑体" w:hAnsi="黑体" w:eastAsia="黑体" w:cs="黑体"/>
          <w:b w:val="0"/>
          <w:bCs w:val="0"/>
          <w:i w:val="0"/>
          <w:iCs w:val="0"/>
          <w:color w:val="000000"/>
          <w:kern w:val="0"/>
          <w:sz w:val="32"/>
          <w:szCs w:val="32"/>
          <w:u w:val="none"/>
          <w:lang w:val="en-US" w:eastAsia="zh-CN" w:bidi="ar"/>
        </w:rPr>
        <w:t>附件：</w:t>
      </w:r>
    </w:p>
    <w:p w14:paraId="5A1E65FC">
      <w:pPr>
        <w:keepNext w:val="0"/>
        <w:keepLines w:val="0"/>
        <w:pageBreakBefore w:val="0"/>
        <w:widowControl/>
        <w:kinsoku/>
        <w:wordWrap/>
        <w:overflowPunct/>
        <w:topLinePunct w:val="0"/>
        <w:autoSpaceDE/>
        <w:autoSpaceDN/>
        <w:bidi w:val="0"/>
        <w:adjustRightInd/>
        <w:snapToGrid/>
        <w:spacing w:line="600" w:lineRule="exact"/>
        <w:ind w:right="0"/>
        <w:jc w:val="center"/>
        <w:textAlignment w:val="auto"/>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pPr>
      <w:r>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t>2025年昆山市市场监督管理局</w:t>
      </w:r>
    </w:p>
    <w:p w14:paraId="29018589">
      <w:pPr>
        <w:keepNext w:val="0"/>
        <w:keepLines w:val="0"/>
        <w:pageBreakBefore w:val="0"/>
        <w:widowControl/>
        <w:kinsoku/>
        <w:wordWrap/>
        <w:overflowPunct/>
        <w:topLinePunct w:val="0"/>
        <w:autoSpaceDE/>
        <w:autoSpaceDN/>
        <w:bidi w:val="0"/>
        <w:adjustRightInd/>
        <w:snapToGrid/>
        <w:spacing w:line="600" w:lineRule="exact"/>
        <w:ind w:right="0"/>
        <w:jc w:val="center"/>
        <w:textAlignment w:val="auto"/>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pPr>
      <w:r>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t>行政检查计划</w:t>
      </w:r>
    </w:p>
    <w:p w14:paraId="4AA2D28A">
      <w:pPr>
        <w:keepNext w:val="0"/>
        <w:keepLines w:val="0"/>
        <w:pageBreakBefore w:val="0"/>
        <w:widowControl/>
        <w:kinsoku/>
        <w:wordWrap/>
        <w:overflowPunct/>
        <w:topLinePunct w:val="0"/>
        <w:autoSpaceDE/>
        <w:autoSpaceDN/>
        <w:bidi w:val="0"/>
        <w:adjustRightInd/>
        <w:snapToGrid/>
        <w:spacing w:line="600" w:lineRule="exact"/>
        <w:ind w:right="0"/>
        <w:jc w:val="center"/>
        <w:textAlignment w:val="auto"/>
        <w:rPr>
          <w:rFonts w:hint="eastAsia" w:ascii="方正小标宋_GBK" w:hAnsi="方正小标宋_GBK" w:eastAsia="方正小标宋_GBK" w:cs="方正小标宋_GBK"/>
          <w:b w:val="0"/>
          <w:bCs w:val="0"/>
          <w:i w:val="0"/>
          <w:iCs w:val="0"/>
          <w:color w:val="000000"/>
          <w:kern w:val="0"/>
          <w:sz w:val="44"/>
          <w:szCs w:val="44"/>
          <w:u w:val="none"/>
          <w:lang w:val="en-US" w:eastAsia="zh-CN" w:bidi="ar"/>
        </w:rPr>
      </w:pPr>
    </w:p>
    <w:p w14:paraId="51600F59">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为进一步规范行业监管行为，</w:t>
      </w:r>
      <w:r>
        <w:rPr>
          <w:rFonts w:hint="default" w:ascii="Times New Roman" w:hAnsi="Times New Roman" w:eastAsia="仿宋_GB2312" w:cs="Times New Roman"/>
          <w:color w:val="000000"/>
          <w:kern w:val="0"/>
          <w:sz w:val="32"/>
          <w:szCs w:val="32"/>
          <w:lang w:val="en-US" w:eastAsia="zh-CN" w:bidi="ar"/>
        </w:rPr>
        <w:t>扎实推进本年度行政检查工作，严格落实</w:t>
      </w:r>
      <w:r>
        <w:rPr>
          <w:rFonts w:hint="default" w:ascii="Times New Roman" w:hAnsi="Times New Roman" w:eastAsia="仿宋_GB2312" w:cs="Times New Roman"/>
          <w:color w:val="000000"/>
          <w:kern w:val="0"/>
          <w:sz w:val="32"/>
          <w:szCs w:val="32"/>
          <w:lang w:bidi="ar"/>
        </w:rPr>
        <w:t>《国务院办公厅关于严格规范涉企行政检查的意见》</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国办发〔2024〕54号</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江苏省政</w:t>
      </w:r>
      <w:bookmarkStart w:id="0" w:name="_GoBack"/>
      <w:bookmarkEnd w:id="0"/>
      <w:r>
        <w:rPr>
          <w:rFonts w:hint="default" w:ascii="Times New Roman" w:hAnsi="Times New Roman" w:eastAsia="仿宋_GB2312" w:cs="Times New Roman"/>
          <w:color w:val="000000"/>
          <w:kern w:val="0"/>
          <w:sz w:val="32"/>
          <w:szCs w:val="32"/>
          <w:lang w:val="en-US" w:eastAsia="zh-CN" w:bidi="ar"/>
        </w:rPr>
        <w:t>府办公厅印发《关于进一步规范涉企行政检查若干措施的通知</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（国办发〔2024〕54号）、昆山市政府办公室印发《关于规范和改进行政检查行为的实施办法（试行）的通知</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bidi="ar"/>
        </w:rPr>
        <w:t>（昆政办发〔2024〕62号）</w:t>
      </w:r>
      <w:r>
        <w:rPr>
          <w:rFonts w:hint="default" w:ascii="Times New Roman" w:hAnsi="Times New Roman" w:eastAsia="仿宋_GB2312" w:cs="Times New Roman"/>
          <w:color w:val="000000"/>
          <w:kern w:val="0"/>
          <w:sz w:val="32"/>
          <w:szCs w:val="32"/>
          <w:lang w:val="en-US" w:eastAsia="zh-CN" w:bidi="ar"/>
        </w:rPr>
        <w:t>等文件要求，紧盯民生重点领域、重点环节，</w:t>
      </w:r>
      <w:r>
        <w:rPr>
          <w:rFonts w:hint="default" w:ascii="Times New Roman" w:hAnsi="Times New Roman" w:eastAsia="仿宋_GB2312" w:cs="Times New Roman"/>
          <w:color w:val="000000"/>
          <w:kern w:val="0"/>
          <w:sz w:val="32"/>
          <w:szCs w:val="32"/>
          <w:lang w:bidi="ar"/>
        </w:rPr>
        <w:t>结合</w:t>
      </w:r>
      <w:r>
        <w:rPr>
          <w:rFonts w:hint="default" w:ascii="Times New Roman" w:hAnsi="Times New Roman" w:eastAsia="仿宋_GB2312" w:cs="Times New Roman"/>
          <w:color w:val="000000"/>
          <w:kern w:val="0"/>
          <w:sz w:val="32"/>
          <w:szCs w:val="32"/>
          <w:lang w:val="en-US" w:eastAsia="zh-CN" w:bidi="ar"/>
        </w:rPr>
        <w:t>保障市场监管领域人民群众生命健康和财产安全的现实需要</w:t>
      </w:r>
      <w:r>
        <w:rPr>
          <w:rFonts w:hint="default" w:ascii="Times New Roman" w:hAnsi="Times New Roman" w:eastAsia="仿宋_GB2312" w:cs="Times New Roman"/>
          <w:color w:val="000000"/>
          <w:kern w:val="0"/>
          <w:sz w:val="32"/>
          <w:szCs w:val="32"/>
          <w:lang w:bidi="ar"/>
        </w:rPr>
        <w:t>，</w:t>
      </w:r>
      <w:r>
        <w:rPr>
          <w:rFonts w:hint="default" w:ascii="Times New Roman" w:hAnsi="Times New Roman" w:eastAsia="仿宋_GB2312" w:cs="Times New Roman"/>
          <w:color w:val="000000"/>
          <w:kern w:val="0"/>
          <w:sz w:val="32"/>
          <w:szCs w:val="32"/>
          <w:lang w:val="en-US" w:eastAsia="zh-CN" w:bidi="ar"/>
        </w:rPr>
        <w:t>现统筹制定昆山市市场监督管理局</w:t>
      </w:r>
      <w:r>
        <w:rPr>
          <w:rFonts w:hint="default" w:ascii="Times New Roman" w:hAnsi="Times New Roman" w:eastAsia="仿宋_GB2312" w:cs="Times New Roman"/>
          <w:color w:val="000000"/>
          <w:kern w:val="0"/>
          <w:sz w:val="32"/>
          <w:szCs w:val="32"/>
          <w:lang w:bidi="ar"/>
        </w:rPr>
        <w:t>2025年度行政检查计划。</w:t>
      </w:r>
    </w:p>
    <w:p w14:paraId="4CE0A746">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bidi="ar"/>
        </w:rPr>
        <w:t>一、指导思想</w:t>
      </w:r>
      <w:r>
        <w:rPr>
          <w:rFonts w:hint="default" w:ascii="Times New Roman" w:hAnsi="Times New Roman" w:eastAsia="黑体" w:cs="Times New Roman"/>
          <w:color w:val="000000"/>
          <w:kern w:val="0"/>
          <w:sz w:val="32"/>
          <w:szCs w:val="32"/>
          <w:lang w:val="en-US" w:eastAsia="zh-CN" w:bidi="ar"/>
        </w:rPr>
        <w:t>及目标</w:t>
      </w:r>
    </w:p>
    <w:p w14:paraId="15B853A9">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bidi="ar"/>
        </w:rPr>
      </w:pPr>
      <w:r>
        <w:rPr>
          <w:rFonts w:hint="default" w:ascii="Times New Roman" w:hAnsi="Times New Roman" w:eastAsia="仿宋_GB2312" w:cs="Times New Roman"/>
          <w:color w:val="000000"/>
          <w:kern w:val="0"/>
          <w:sz w:val="32"/>
          <w:szCs w:val="32"/>
          <w:lang w:bidi="ar"/>
        </w:rPr>
        <w:t>以习近平新时代中国特色社会主义思想为指导，深入贯彻落实党的二十大精神，坚持“依法监管、公正高效、公开透明”原则，</w:t>
      </w:r>
      <w:r>
        <w:rPr>
          <w:rFonts w:hint="default" w:ascii="Times New Roman" w:hAnsi="Times New Roman" w:eastAsia="仿宋_GB2312" w:cs="Times New Roman"/>
          <w:color w:val="000000"/>
          <w:kern w:val="0"/>
          <w:sz w:val="32"/>
          <w:szCs w:val="32"/>
          <w:lang w:val="en-US" w:eastAsia="zh-CN" w:bidi="ar"/>
        </w:rPr>
        <w:t>深入开展“综合查一次”，</w:t>
      </w:r>
      <w:r>
        <w:rPr>
          <w:rFonts w:hint="default" w:ascii="Times New Roman" w:hAnsi="Times New Roman" w:eastAsia="仿宋_GB2312" w:cs="Times New Roman"/>
          <w:color w:val="000000"/>
          <w:kern w:val="0"/>
          <w:sz w:val="32"/>
          <w:szCs w:val="32"/>
          <w:lang w:bidi="ar"/>
        </w:rPr>
        <w:t>完善执法监管机制、优化执法监管方式、提升执法监管效能，切实履行市场监管职责，营造公平竞争的市场环境和安全放心的消费环境。强化食品、药品、特种设备、工业产品等“三品一特”安全监管，防范系统性风险</w:t>
      </w:r>
      <w:r>
        <w:rPr>
          <w:rFonts w:hint="default" w:ascii="Times New Roman" w:hAnsi="Times New Roman" w:eastAsia="仿宋_GB2312" w:cs="Times New Roman"/>
          <w:color w:val="000000"/>
          <w:kern w:val="0"/>
          <w:sz w:val="32"/>
          <w:szCs w:val="32"/>
          <w:lang w:eastAsia="zh-CN" w:bidi="ar"/>
        </w:rPr>
        <w:t>，</w:t>
      </w:r>
      <w:r>
        <w:rPr>
          <w:rFonts w:hint="default" w:ascii="Times New Roman" w:hAnsi="Times New Roman" w:eastAsia="仿宋_GB2312" w:cs="Times New Roman"/>
          <w:color w:val="000000"/>
          <w:kern w:val="0"/>
          <w:sz w:val="32"/>
          <w:szCs w:val="32"/>
          <w:lang w:val="en-US" w:eastAsia="zh-CN" w:bidi="ar"/>
        </w:rPr>
        <w:t>维护市场公平竞争，保障民生安全底线，保护消费者合法权益，优化营商环境，助力城市高质量发展。</w:t>
      </w:r>
    </w:p>
    <w:p w14:paraId="03DDD116">
      <w:pPr>
        <w:keepNext w:val="0"/>
        <w:keepLines w:val="0"/>
        <w:pageBreakBefore w:val="0"/>
        <w:widowControl/>
        <w:numPr>
          <w:ilvl w:val="0"/>
          <w:numId w:val="1"/>
        </w:numPr>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bidi="ar"/>
        </w:rPr>
        <w:t>检查内容</w:t>
      </w:r>
    </w:p>
    <w:p w14:paraId="12894462">
      <w:pPr>
        <w:pStyle w:val="7"/>
        <w:keepNext w:val="0"/>
        <w:keepLines w:val="0"/>
        <w:pageBreakBefore w:val="0"/>
        <w:widowControl/>
        <w:suppressLineNumbers w:val="0"/>
        <w:pBdr>
          <w:top w:val="none" w:color="000000" w:sz="0" w:space="0"/>
          <w:left w:val="none" w:color="000000" w:sz="0" w:space="0"/>
          <w:bottom w:val="none" w:color="000000" w:sz="0" w:space="0"/>
          <w:right w:val="none" w:color="000000" w:sz="0" w:space="0"/>
        </w:pBdr>
        <w:shd w:val="clear" w:color="auto" w:fill="FFFFFF"/>
        <w:kinsoku/>
        <w:wordWrap/>
        <w:overflowPunct/>
        <w:topLinePunct w:val="0"/>
        <w:autoSpaceDE/>
        <w:autoSpaceDN/>
        <w:bidi w:val="0"/>
        <w:adjustRightInd/>
        <w:snapToGrid/>
        <w:spacing w:before="0" w:beforeAutospacing="0" w:after="0" w:afterAutospacing="0" w:line="600" w:lineRule="exact"/>
        <w:ind w:left="0" w:right="0" w:firstLine="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宋体" w:cs="Times New Roman"/>
          <w:i w:val="0"/>
          <w:iCs w:val="0"/>
          <w:caps w:val="0"/>
          <w:color w:val="333333"/>
          <w:spacing w:val="0"/>
          <w:sz w:val="32"/>
          <w:szCs w:val="32"/>
          <w:shd w:val="clear" w:color="auto" w:fill="FFFFFF"/>
        </w:rPr>
        <w:t>  </w:t>
      </w:r>
      <w:r>
        <w:rPr>
          <w:rFonts w:hint="default" w:ascii="Times New Roman" w:hAnsi="Times New Roman" w:eastAsia="宋体" w:cs="Times New Roman"/>
          <w:i w:val="0"/>
          <w:iCs w:val="0"/>
          <w:caps w:val="0"/>
          <w:color w:val="333333"/>
          <w:spacing w:val="0"/>
          <w:sz w:val="32"/>
          <w:szCs w:val="32"/>
          <w:shd w:val="clear" w:color="auto" w:fill="FFFFFF"/>
          <w:lang w:val="en-US" w:eastAsia="zh-CN"/>
        </w:rPr>
        <w:t xml:space="preserve">   </w:t>
      </w:r>
      <w:r>
        <w:rPr>
          <w:rFonts w:hint="default" w:ascii="Times New Roman" w:hAnsi="Times New Roman" w:eastAsia="仿宋_GB2312" w:cs="Times New Roman"/>
          <w:color w:val="000000"/>
          <w:kern w:val="0"/>
          <w:sz w:val="32"/>
          <w:szCs w:val="32"/>
          <w:lang w:val="en-US" w:eastAsia="zh-CN" w:bidi="ar"/>
        </w:rPr>
        <w:t>各类企业、个体工商户的生产经营行为日常检查；企业信息公示检查；产品质量监督检查；食品安全监督检查；保护消费者合法权益监督检查；打击假冒伪劣商品监督检查；各类市场交易行为监督检查；反不正当竞争行为监督检查；打击知识产权侵权行为监督检查；打击广告违法行为监督检查；打击合同违法行为监督检查；对认证市场和认证行为进行监管；药械化质量监督检查；特种设备安全监督检查；价格活动监督检查；标准计量工作监督检查；检验检测机构监督检查；其它和市场监督管理职能相关的检查事项。</w:t>
      </w:r>
    </w:p>
    <w:p w14:paraId="30045C55">
      <w:pPr>
        <w:keepNext w:val="0"/>
        <w:keepLines w:val="0"/>
        <w:pageBreakBefore w:val="0"/>
        <w:widowControl/>
        <w:numPr>
          <w:ilvl w:val="0"/>
          <w:numId w:val="1"/>
        </w:numPr>
        <w:kinsoku/>
        <w:wordWrap/>
        <w:overflowPunct/>
        <w:topLinePunct w:val="0"/>
        <w:autoSpaceDE/>
        <w:autoSpaceDN/>
        <w:bidi w:val="0"/>
        <w:adjustRightInd/>
        <w:snapToGrid/>
        <w:spacing w:line="600" w:lineRule="exact"/>
        <w:ind w:left="0" w:leftChars="0" w:right="0" w:firstLine="640" w:firstLineChars="200"/>
        <w:textAlignment w:val="auto"/>
        <w:rPr>
          <w:rFonts w:hint="default" w:ascii="Times New Roman" w:hAnsi="Times New Roman" w:eastAsia="黑体" w:cs="Times New Roman"/>
          <w:color w:val="000000"/>
          <w:kern w:val="0"/>
          <w:sz w:val="32"/>
          <w:szCs w:val="32"/>
          <w:lang w:bidi="ar"/>
        </w:rPr>
      </w:pPr>
      <w:r>
        <w:rPr>
          <w:rFonts w:hint="default" w:ascii="Times New Roman" w:hAnsi="Times New Roman" w:eastAsia="黑体" w:cs="Times New Roman"/>
          <w:color w:val="000000"/>
          <w:kern w:val="0"/>
          <w:sz w:val="32"/>
          <w:szCs w:val="32"/>
          <w:lang w:bidi="ar"/>
        </w:rPr>
        <w:t>检查方式</w:t>
      </w:r>
    </w:p>
    <w:p w14:paraId="0F2AC0FD">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1.“双随机、一公开”检查：在监管过程中随机抽取检查对象，随机选派执法检查人员，抽查情况及查处结果及时向社会公开。</w:t>
      </w:r>
    </w:p>
    <w:p w14:paraId="48D0684B">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2. 专项检查：</w:t>
      </w:r>
      <w:r>
        <w:rPr>
          <w:rFonts w:hint="default" w:ascii="Times New Roman" w:hAnsi="Times New Roman" w:eastAsia="仿宋_GB2312" w:cs="Times New Roman"/>
          <w:color w:val="000000"/>
          <w:kern w:val="0"/>
          <w:sz w:val="32"/>
          <w:szCs w:val="32"/>
        </w:rPr>
        <w:t>针对</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lang w:val="en-US" w:eastAsia="zh-CN"/>
        </w:rPr>
        <w:t>三品一特</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等重点领域以及关键环节，组织开展专项检查。</w:t>
      </w:r>
    </w:p>
    <w:p w14:paraId="71501093">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3. 日常检查：</w:t>
      </w:r>
      <w:r>
        <w:rPr>
          <w:rFonts w:hint="default" w:ascii="Times New Roman" w:hAnsi="Times New Roman" w:eastAsia="仿宋_GB2312" w:cs="Times New Roman"/>
          <w:color w:val="000000"/>
          <w:kern w:val="0"/>
          <w:sz w:val="32"/>
          <w:szCs w:val="32"/>
        </w:rPr>
        <w:t>依据自身职责分工，制定详细的日常检查计划，按照计划检查的内容与标准，认真填写相关记录。</w:t>
      </w:r>
    </w:p>
    <w:p w14:paraId="573868C3">
      <w:pPr>
        <w:keepNext w:val="0"/>
        <w:keepLines w:val="0"/>
        <w:pageBreakBefore w:val="0"/>
        <w:widowControl/>
        <w:numPr>
          <w:ilvl w:val="0"/>
          <w:numId w:val="0"/>
        </w:numPr>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rPr>
        <w:t xml:space="preserve">4. </w:t>
      </w:r>
      <w:r>
        <w:rPr>
          <w:rFonts w:hint="default" w:ascii="Times New Roman" w:hAnsi="Times New Roman" w:eastAsia="仿宋_GB2312" w:cs="Times New Roman"/>
          <w:color w:val="000000"/>
          <w:kern w:val="0"/>
          <w:sz w:val="32"/>
          <w:szCs w:val="32"/>
          <w:lang w:val="en-US" w:eastAsia="zh-CN" w:bidi="ar"/>
        </w:rPr>
        <w:t>联合检查：加强</w:t>
      </w:r>
      <w:r>
        <w:rPr>
          <w:rFonts w:hint="default" w:ascii="Times New Roman" w:hAnsi="Times New Roman" w:eastAsia="仿宋_GB2312" w:cs="Times New Roman"/>
          <w:color w:val="000000"/>
          <w:kern w:val="0"/>
          <w:sz w:val="32"/>
          <w:szCs w:val="32"/>
        </w:rPr>
        <w:t>与</w:t>
      </w:r>
      <w:r>
        <w:rPr>
          <w:rFonts w:hint="default" w:ascii="Times New Roman" w:hAnsi="Times New Roman" w:eastAsia="仿宋_GB2312" w:cs="Times New Roman"/>
          <w:color w:val="000000"/>
          <w:kern w:val="0"/>
          <w:sz w:val="32"/>
          <w:szCs w:val="32"/>
          <w:lang w:val="en-US" w:eastAsia="zh-CN" w:bidi="ar"/>
        </w:rPr>
        <w:t>公安、应急管理、消防</w:t>
      </w:r>
      <w:r>
        <w:rPr>
          <w:rFonts w:hint="default" w:ascii="Times New Roman" w:hAnsi="Times New Roman" w:eastAsia="仿宋_GB2312" w:cs="Times New Roman"/>
          <w:color w:val="000000"/>
          <w:kern w:val="0"/>
          <w:sz w:val="32"/>
          <w:szCs w:val="32"/>
        </w:rPr>
        <w:t>等相关部门沟通协作，定期开展联合检查</w:t>
      </w:r>
      <w:r>
        <w:rPr>
          <w:rFonts w:hint="default" w:ascii="Times New Roman" w:hAnsi="Times New Roman" w:eastAsia="仿宋_GB2312" w:cs="Times New Roman"/>
          <w:color w:val="000000"/>
          <w:kern w:val="0"/>
          <w:sz w:val="32"/>
          <w:szCs w:val="32"/>
          <w:lang w:eastAsia="zh-CN"/>
        </w:rPr>
        <w:t>，</w:t>
      </w:r>
      <w:r>
        <w:rPr>
          <w:rFonts w:hint="default" w:ascii="Times New Roman" w:hAnsi="Times New Roman" w:eastAsia="仿宋_GB2312" w:cs="Times New Roman"/>
          <w:color w:val="000000"/>
          <w:kern w:val="0"/>
          <w:sz w:val="32"/>
          <w:szCs w:val="32"/>
        </w:rPr>
        <w:t>整合各部门的执法力量与专业资源，形成监管合力</w:t>
      </w:r>
      <w:r>
        <w:rPr>
          <w:rFonts w:hint="default" w:ascii="Times New Roman" w:hAnsi="Times New Roman" w:eastAsia="仿宋_GB2312" w:cs="Times New Roman"/>
          <w:color w:val="000000"/>
          <w:kern w:val="0"/>
          <w:sz w:val="32"/>
          <w:szCs w:val="32"/>
          <w:lang w:eastAsia="zh-CN"/>
        </w:rPr>
        <w:t>。</w:t>
      </w:r>
    </w:p>
    <w:p w14:paraId="00B2382D">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黑体" w:cs="Times New Roman"/>
          <w:color w:val="000000"/>
          <w:kern w:val="0"/>
          <w:sz w:val="32"/>
          <w:szCs w:val="32"/>
          <w:lang w:bidi="ar"/>
        </w:rPr>
      </w:pPr>
      <w:r>
        <w:rPr>
          <w:rFonts w:hint="default" w:ascii="Times New Roman" w:hAnsi="Times New Roman" w:eastAsia="黑体" w:cs="Times New Roman"/>
          <w:color w:val="000000"/>
          <w:kern w:val="0"/>
          <w:sz w:val="32"/>
          <w:szCs w:val="32"/>
          <w:lang w:bidi="ar"/>
        </w:rPr>
        <w:t>四、检查安排</w:t>
      </w:r>
    </w:p>
    <w:p w14:paraId="4F6AB9D7">
      <w:pPr>
        <w:keepNext w:val="0"/>
        <w:keepLines w:val="0"/>
        <w:pageBreakBefore w:val="0"/>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sz w:val="32"/>
          <w:szCs w:val="32"/>
          <w:lang w:val="en-US" w:eastAsia="zh-CN"/>
        </w:rPr>
        <w:t>详</w:t>
      </w:r>
      <w:r>
        <w:rPr>
          <w:rFonts w:hint="default" w:ascii="Times New Roman" w:hAnsi="Times New Roman" w:eastAsia="仿宋_GB2312" w:cs="Times New Roman"/>
          <w:sz w:val="32"/>
          <w:szCs w:val="32"/>
        </w:rPr>
        <w:t>见</w:t>
      </w:r>
      <w:r>
        <w:rPr>
          <w:rFonts w:hint="default" w:ascii="Times New Roman" w:hAnsi="Times New Roman" w:eastAsia="仿宋_GB2312" w:cs="Times New Roman"/>
          <w:sz w:val="32"/>
          <w:szCs w:val="32"/>
          <w:lang w:val="en-US" w:eastAsia="zh-CN"/>
        </w:rPr>
        <w:t>文后表格</w:t>
      </w:r>
      <w:r>
        <w:rPr>
          <w:rFonts w:hint="default" w:ascii="Times New Roman" w:hAnsi="Times New Roman" w:eastAsia="仿宋_GB2312" w:cs="Times New Roman"/>
          <w:color w:val="000000"/>
          <w:kern w:val="0"/>
          <w:sz w:val="32"/>
          <w:szCs w:val="32"/>
          <w:lang w:val="en-US" w:eastAsia="zh-CN"/>
        </w:rPr>
        <w:t>。</w:t>
      </w:r>
    </w:p>
    <w:p w14:paraId="2C1B35D3">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黑体" w:cs="Times New Roman"/>
          <w:color w:val="000000"/>
          <w:kern w:val="0"/>
          <w:sz w:val="32"/>
          <w:szCs w:val="32"/>
          <w:lang w:bidi="ar"/>
        </w:rPr>
      </w:pPr>
      <w:r>
        <w:rPr>
          <w:rFonts w:hint="default" w:ascii="Times New Roman" w:hAnsi="Times New Roman" w:eastAsia="黑体" w:cs="Times New Roman"/>
          <w:color w:val="000000"/>
          <w:kern w:val="0"/>
          <w:sz w:val="32"/>
          <w:szCs w:val="32"/>
          <w:lang w:bidi="ar"/>
        </w:rPr>
        <w:t>五、检查结果处理</w:t>
      </w:r>
    </w:p>
    <w:p w14:paraId="174C7EE1">
      <w:pPr>
        <w:keepNext w:val="0"/>
        <w:keepLines w:val="0"/>
        <w:pageBreakBefore w:val="0"/>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问题整改：</w:t>
      </w:r>
      <w:r>
        <w:rPr>
          <w:rFonts w:hint="default" w:ascii="Times New Roman" w:hAnsi="Times New Roman" w:eastAsia="仿宋_GB2312" w:cs="Times New Roman"/>
          <w:sz w:val="32"/>
          <w:szCs w:val="32"/>
        </w:rPr>
        <w:t>对检查中发现的</w:t>
      </w:r>
      <w:r>
        <w:rPr>
          <w:rFonts w:hint="default" w:ascii="Times New Roman" w:hAnsi="Times New Roman" w:eastAsia="仿宋_GB2312" w:cs="Times New Roman"/>
          <w:sz w:val="32"/>
          <w:szCs w:val="32"/>
          <w:lang w:val="en-US" w:eastAsia="zh-CN"/>
        </w:rPr>
        <w:t>轻微违法行为责令限期整改并加强后续复查工作。</w:t>
      </w:r>
    </w:p>
    <w:p w14:paraId="4FA7A000">
      <w:pPr>
        <w:keepNext w:val="0"/>
        <w:keepLines w:val="0"/>
        <w:pageBreakBefore w:val="0"/>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行政处罚：</w:t>
      </w:r>
      <w:r>
        <w:rPr>
          <w:rFonts w:hint="default" w:ascii="Times New Roman" w:hAnsi="Times New Roman" w:eastAsia="仿宋_GB2312" w:cs="Times New Roman"/>
          <w:sz w:val="32"/>
          <w:szCs w:val="32"/>
        </w:rPr>
        <w:t>对</w:t>
      </w:r>
      <w:r>
        <w:rPr>
          <w:rFonts w:hint="default" w:ascii="Times New Roman" w:hAnsi="Times New Roman" w:eastAsia="仿宋_GB2312" w:cs="Times New Roman"/>
          <w:sz w:val="32"/>
          <w:szCs w:val="32"/>
          <w:lang w:val="en-US" w:eastAsia="zh-CN"/>
        </w:rPr>
        <w:t>检查中发现的</w:t>
      </w:r>
      <w:r>
        <w:rPr>
          <w:rFonts w:hint="default" w:ascii="Times New Roman" w:hAnsi="Times New Roman" w:eastAsia="仿宋_GB2312" w:cs="Times New Roman"/>
          <w:sz w:val="32"/>
          <w:szCs w:val="32"/>
        </w:rPr>
        <w:t>违法行为</w:t>
      </w:r>
      <w:r>
        <w:rPr>
          <w:rFonts w:hint="default" w:ascii="Times New Roman" w:hAnsi="Times New Roman" w:eastAsia="仿宋_GB2312" w:cs="Times New Roman"/>
          <w:sz w:val="32"/>
          <w:szCs w:val="32"/>
          <w:lang w:val="en-US" w:eastAsia="zh-CN"/>
        </w:rPr>
        <w:t>立案处罚，依法公示行政处罚信息。</w:t>
      </w:r>
    </w:p>
    <w:p w14:paraId="0659747B">
      <w:pPr>
        <w:keepNext w:val="0"/>
        <w:keepLines w:val="0"/>
        <w:pageBreakBefore w:val="0"/>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val="en-US" w:eastAsia="zh-CN"/>
        </w:rPr>
        <w:t>3.行刑对接：</w:t>
      </w:r>
      <w:r>
        <w:rPr>
          <w:rFonts w:hint="default" w:ascii="Times New Roman" w:hAnsi="Times New Roman" w:eastAsia="仿宋_GB2312" w:cs="Times New Roman"/>
          <w:sz w:val="32"/>
          <w:szCs w:val="32"/>
        </w:rPr>
        <w:t>对于检查中发现的违法行为涉嫌犯罪的，及时将案件移送至公安等相关部门。</w:t>
      </w:r>
    </w:p>
    <w:p w14:paraId="4E153BB8">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黑体" w:cs="Times New Roman"/>
          <w:color w:val="000000"/>
          <w:kern w:val="0"/>
          <w:sz w:val="32"/>
          <w:szCs w:val="32"/>
          <w:lang w:bidi="ar"/>
        </w:rPr>
      </w:pPr>
      <w:r>
        <w:rPr>
          <w:rFonts w:hint="default" w:ascii="Times New Roman" w:hAnsi="Times New Roman" w:eastAsia="黑体" w:cs="Times New Roman"/>
          <w:color w:val="000000"/>
          <w:kern w:val="0"/>
          <w:sz w:val="32"/>
          <w:szCs w:val="32"/>
          <w:lang w:val="en-US" w:eastAsia="zh-CN" w:bidi="ar"/>
        </w:rPr>
        <w:t>六</w:t>
      </w:r>
      <w:r>
        <w:rPr>
          <w:rFonts w:hint="default" w:ascii="Times New Roman" w:hAnsi="Times New Roman" w:eastAsia="黑体" w:cs="Times New Roman"/>
          <w:color w:val="000000"/>
          <w:kern w:val="0"/>
          <w:sz w:val="32"/>
          <w:szCs w:val="32"/>
          <w:lang w:bidi="ar"/>
        </w:rPr>
        <w:t>、加强执法监督</w:t>
      </w:r>
    </w:p>
    <w:p w14:paraId="75112CFB">
      <w:pPr>
        <w:keepNext w:val="0"/>
        <w:keepLines w:val="0"/>
        <w:pageBreakBefore w:val="0"/>
        <w:widowControl/>
        <w:kinsoku/>
        <w:wordWrap/>
        <w:overflowPunct/>
        <w:topLinePunct w:val="0"/>
        <w:autoSpaceDE/>
        <w:autoSpaceDN/>
        <w:bidi w:val="0"/>
        <w:adjustRightInd/>
        <w:snapToGrid/>
        <w:spacing w:line="600" w:lineRule="exact"/>
        <w:ind w:right="0" w:firstLine="640"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执法检查是行政监管的重要组成部分和重要手段，当前市场形势下，要增强做好执法检查工作的责任感和使命感，科学统筹、审慎包容，切实提升执法检查水平，保障营商环境。加强行政执法内部监督及社会监督。如在</w:t>
      </w:r>
      <w:r>
        <w:rPr>
          <w:rFonts w:hint="default" w:ascii="Times New Roman" w:hAnsi="Times New Roman" w:eastAsia="仿宋_GB2312" w:cs="Times New Roman"/>
          <w:color w:val="000000"/>
          <w:kern w:val="0"/>
          <w:sz w:val="32"/>
          <w:szCs w:val="32"/>
          <w:lang w:val="en-US" w:eastAsia="zh-CN"/>
        </w:rPr>
        <w:t>行政</w:t>
      </w:r>
      <w:r>
        <w:rPr>
          <w:rFonts w:hint="default" w:ascii="Times New Roman" w:hAnsi="Times New Roman" w:eastAsia="仿宋_GB2312" w:cs="Times New Roman"/>
          <w:color w:val="000000"/>
          <w:kern w:val="0"/>
          <w:sz w:val="32"/>
          <w:szCs w:val="32"/>
        </w:rPr>
        <w:t>检查过程中发现违法违规的行为，可联系</w:t>
      </w:r>
      <w:r>
        <w:rPr>
          <w:rFonts w:hint="default" w:ascii="Times New Roman" w:hAnsi="Times New Roman" w:eastAsia="仿宋_GB2312" w:cs="Times New Roman"/>
          <w:color w:val="000000"/>
          <w:kern w:val="0"/>
          <w:sz w:val="32"/>
          <w:szCs w:val="32"/>
          <w:lang w:val="en-US" w:eastAsia="zh-CN"/>
        </w:rPr>
        <w:t>0512-57728026</w:t>
      </w:r>
      <w:r>
        <w:rPr>
          <w:rFonts w:hint="default" w:ascii="Times New Roman" w:hAnsi="Times New Roman" w:eastAsia="仿宋_GB2312" w:cs="Times New Roman"/>
          <w:color w:val="000000"/>
          <w:kern w:val="0"/>
          <w:sz w:val="32"/>
          <w:szCs w:val="32"/>
        </w:rPr>
        <w:t>进行反映。</w:t>
      </w:r>
    </w:p>
    <w:p w14:paraId="268E3D70">
      <w:pPr>
        <w:keepNext w:val="0"/>
        <w:keepLines w:val="0"/>
        <w:pageBreakBefore w:val="0"/>
        <w:kinsoku/>
        <w:wordWrap/>
        <w:overflowPunct/>
        <w:topLinePunct w:val="0"/>
        <w:bidi w:val="0"/>
        <w:spacing w:line="600" w:lineRule="exact"/>
        <w:ind w:right="0"/>
        <w:jc w:val="both"/>
        <w:rPr>
          <w:rFonts w:ascii="Times New Roman" w:hAnsi="Times New Roman" w:eastAsia="仿宋_GB2312"/>
          <w:sz w:val="32"/>
          <w:szCs w:val="32"/>
        </w:rPr>
      </w:pPr>
    </w:p>
    <w:p w14:paraId="65501586">
      <w:pPr>
        <w:keepNext w:val="0"/>
        <w:keepLines w:val="0"/>
        <w:pageBreakBefore w:val="0"/>
        <w:widowControl w:val="0"/>
        <w:numPr>
          <w:ilvl w:val="0"/>
          <w:numId w:val="0"/>
        </w:numPr>
        <w:kinsoku/>
        <w:wordWrap/>
        <w:overflowPunct/>
        <w:topLinePunct w:val="0"/>
        <w:autoSpaceDE w:val="0"/>
        <w:autoSpaceDN w:val="0"/>
        <w:bidi w:val="0"/>
        <w:spacing w:line="600" w:lineRule="exact"/>
        <w:ind w:right="0" w:rightChars="0" w:firstLine="4800" w:firstLineChars="1500"/>
        <w:jc w:val="both"/>
        <w:outlineLvl w:val="9"/>
        <w:rPr>
          <w:rFonts w:ascii="Times New Roman" w:hAnsi="Times New Roman" w:eastAsia="仿宋_GB2312" w:cs="Times New Roman"/>
          <w:color w:val="000000"/>
          <w:sz w:val="32"/>
          <w:szCs w:val="32"/>
          <w:shd w:val="clear" w:color="auto" w:fill="auto"/>
          <w:lang w:val="en-US" w:eastAsia="zh-CN"/>
        </w:rPr>
      </w:pPr>
    </w:p>
    <w:p w14:paraId="496AE615">
      <w:pPr>
        <w:keepNext w:val="0"/>
        <w:keepLines w:val="0"/>
        <w:pageBreakBefore w:val="0"/>
        <w:widowControl w:val="0"/>
        <w:numPr>
          <w:ilvl w:val="0"/>
          <w:numId w:val="0"/>
        </w:numPr>
        <w:kinsoku/>
        <w:wordWrap/>
        <w:overflowPunct/>
        <w:topLinePunct w:val="0"/>
        <w:autoSpaceDE w:val="0"/>
        <w:autoSpaceDN w:val="0"/>
        <w:bidi w:val="0"/>
        <w:spacing w:line="600" w:lineRule="exact"/>
        <w:ind w:right="0" w:rightChars="0" w:firstLine="640" w:firstLineChars="200"/>
        <w:jc w:val="both"/>
        <w:outlineLvl w:val="9"/>
        <w:rPr>
          <w:rFonts w:ascii="Times New Roman" w:hAnsi="Times New Roman" w:eastAsia="仿宋_GB2312" w:cs="Times New Roman"/>
          <w:color w:val="000000"/>
          <w:sz w:val="32"/>
          <w:szCs w:val="32"/>
          <w:shd w:val="clear" w:color="auto" w:fill="auto"/>
          <w:lang w:val="en-US" w:eastAsia="zh-CN"/>
        </w:rPr>
      </w:pPr>
      <w:r>
        <w:rPr>
          <w:rFonts w:hint="eastAsia" w:ascii="Times New Roman" w:hAnsi="Times New Roman" w:eastAsia="仿宋_GB2312" w:cs="Times New Roman"/>
          <w:color w:val="000000"/>
          <w:sz w:val="32"/>
          <w:szCs w:val="32"/>
          <w:shd w:val="clear" w:color="auto" w:fill="auto"/>
          <w:lang w:val="en-US" w:eastAsia="zh-CN"/>
        </w:rPr>
        <w:t xml:space="preserve">         </w:t>
      </w:r>
    </w:p>
    <w:p w14:paraId="0D1EE24C">
      <w:pPr>
        <w:keepNext w:val="0"/>
        <w:keepLines w:val="0"/>
        <w:pageBreakBefore w:val="0"/>
        <w:tabs>
          <w:tab w:val="left" w:pos="5008"/>
        </w:tabs>
        <w:kinsoku/>
        <w:wordWrap/>
        <w:overflowPunct/>
        <w:topLinePunct w:val="0"/>
        <w:bidi w:val="0"/>
        <w:spacing w:line="600" w:lineRule="exact"/>
        <w:ind w:right="0"/>
        <w:jc w:val="left"/>
        <w:rPr>
          <w:rFonts w:hint="eastAsia"/>
        </w:rPr>
      </w:pPr>
    </w:p>
    <w:p w14:paraId="1F613A78">
      <w:pPr>
        <w:sectPr>
          <w:footerReference r:id="rId3" w:type="default"/>
          <w:pgSz w:w="11906" w:h="16838"/>
          <w:pgMar w:top="2098" w:right="1361" w:bottom="1417" w:left="1587" w:header="851" w:footer="992" w:gutter="0"/>
          <w:cols w:space="720" w:num="1"/>
          <w:docGrid w:type="lines" w:linePitch="312" w:charSpace="0"/>
        </w:sectPr>
      </w:pPr>
    </w:p>
    <w:p w14:paraId="17131E8B">
      <w:pPr>
        <w:keepNext w:val="0"/>
        <w:keepLines w:val="0"/>
        <w:pageBreakBefore w:val="0"/>
        <w:tabs>
          <w:tab w:val="left" w:pos="5008"/>
        </w:tabs>
        <w:kinsoku/>
        <w:wordWrap/>
        <w:overflowPunct/>
        <w:topLinePunct w:val="0"/>
        <w:bidi w:val="0"/>
        <w:spacing w:line="600" w:lineRule="exact"/>
        <w:ind w:right="0"/>
        <w:jc w:val="left"/>
        <w:rPr>
          <w:rFonts w:hint="eastAsia"/>
        </w:rPr>
      </w:pPr>
    </w:p>
    <w:tbl>
      <w:tblPr>
        <w:tblStyle w:val="8"/>
        <w:tblW w:w="0" w:type="auto"/>
        <w:tblInd w:w="-12" w:type="dxa"/>
        <w:tblLayout w:type="autofit"/>
        <w:tblCellMar>
          <w:top w:w="0" w:type="dxa"/>
          <w:left w:w="108" w:type="dxa"/>
          <w:bottom w:w="0" w:type="dxa"/>
          <w:right w:w="108" w:type="dxa"/>
        </w:tblCellMar>
      </w:tblPr>
      <w:tblGrid>
        <w:gridCol w:w="1080"/>
        <w:gridCol w:w="2835"/>
        <w:gridCol w:w="4185"/>
        <w:gridCol w:w="2085"/>
        <w:gridCol w:w="1440"/>
        <w:gridCol w:w="2295"/>
        <w:gridCol w:w="1380"/>
      </w:tblGrid>
      <w:tr w14:paraId="2FA7ACDB">
        <w:tblPrEx>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274FEC67">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835" w:type="dxa"/>
            <w:tcBorders>
              <w:top w:val="single" w:color="000000" w:sz="4" w:space="0"/>
              <w:left w:val="single" w:color="000000" w:sz="4" w:space="0"/>
              <w:bottom w:val="single" w:color="000000" w:sz="4" w:space="0"/>
              <w:right w:val="single" w:color="000000" w:sz="4" w:space="0"/>
            </w:tcBorders>
            <w:vAlign w:val="center"/>
          </w:tcPr>
          <w:p w14:paraId="179FCF5B">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检查事项</w:t>
            </w:r>
          </w:p>
        </w:tc>
        <w:tc>
          <w:tcPr>
            <w:tcW w:w="4185" w:type="dxa"/>
            <w:tcBorders>
              <w:top w:val="single" w:color="000000" w:sz="4" w:space="0"/>
              <w:left w:val="single" w:color="000000" w:sz="4" w:space="0"/>
              <w:bottom w:val="single" w:color="000000" w:sz="4" w:space="0"/>
              <w:right w:val="single" w:color="000000" w:sz="4" w:space="0"/>
            </w:tcBorders>
            <w:vAlign w:val="center"/>
          </w:tcPr>
          <w:p w14:paraId="4D067AE3">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检查依据</w:t>
            </w:r>
          </w:p>
        </w:tc>
        <w:tc>
          <w:tcPr>
            <w:tcW w:w="2085" w:type="dxa"/>
            <w:tcBorders>
              <w:top w:val="single" w:color="000000" w:sz="4" w:space="0"/>
              <w:left w:val="single" w:color="000000" w:sz="4" w:space="0"/>
              <w:bottom w:val="single" w:color="000000" w:sz="4" w:space="0"/>
              <w:right w:val="single" w:color="000000" w:sz="4" w:space="0"/>
            </w:tcBorders>
            <w:vAlign w:val="center"/>
          </w:tcPr>
          <w:p w14:paraId="49F57453">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检查对象</w:t>
            </w:r>
          </w:p>
        </w:tc>
        <w:tc>
          <w:tcPr>
            <w:tcW w:w="1440" w:type="dxa"/>
            <w:tcBorders>
              <w:top w:val="single" w:color="000000" w:sz="4" w:space="0"/>
              <w:left w:val="single" w:color="000000" w:sz="4" w:space="0"/>
              <w:bottom w:val="single" w:color="000000" w:sz="4" w:space="0"/>
              <w:right w:val="single" w:color="000000" w:sz="4" w:space="0"/>
            </w:tcBorders>
            <w:vAlign w:val="center"/>
          </w:tcPr>
          <w:p w14:paraId="2AD317A6">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检查方式</w:t>
            </w:r>
          </w:p>
        </w:tc>
        <w:tc>
          <w:tcPr>
            <w:tcW w:w="2295" w:type="dxa"/>
            <w:tcBorders>
              <w:top w:val="single" w:color="000000" w:sz="4" w:space="0"/>
              <w:left w:val="single" w:color="000000" w:sz="4" w:space="0"/>
              <w:bottom w:val="single" w:color="000000" w:sz="4" w:space="0"/>
              <w:right w:val="single" w:color="000000" w:sz="4" w:space="0"/>
            </w:tcBorders>
            <w:vAlign w:val="center"/>
          </w:tcPr>
          <w:p w14:paraId="6FA302D1">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检查比例</w:t>
            </w:r>
          </w:p>
        </w:tc>
        <w:tc>
          <w:tcPr>
            <w:tcW w:w="1380" w:type="dxa"/>
            <w:tcBorders>
              <w:top w:val="single" w:color="000000" w:sz="4" w:space="0"/>
              <w:left w:val="single" w:color="000000" w:sz="4" w:space="0"/>
              <w:bottom w:val="single" w:color="000000" w:sz="4" w:space="0"/>
              <w:right w:val="single" w:color="000000" w:sz="4" w:space="0"/>
            </w:tcBorders>
            <w:vAlign w:val="center"/>
          </w:tcPr>
          <w:p w14:paraId="38A2F9BA">
            <w:pPr>
              <w:keepNext w:val="0"/>
              <w:keepLines w:val="0"/>
              <w:widowControl/>
              <w:suppressLineNumbers w:val="0"/>
              <w:jc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检查频次</w:t>
            </w:r>
          </w:p>
        </w:tc>
      </w:tr>
      <w:tr w14:paraId="4940FCEA">
        <w:tblPrEx>
          <w:tblCellMar>
            <w:top w:w="0" w:type="dxa"/>
            <w:left w:w="108" w:type="dxa"/>
            <w:bottom w:w="0" w:type="dxa"/>
            <w:right w:w="108" w:type="dxa"/>
          </w:tblCellMar>
        </w:tblPrEx>
        <w:trPr>
          <w:trHeight w:val="80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63CDA06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835" w:type="dxa"/>
            <w:tcBorders>
              <w:top w:val="single" w:color="000000" w:sz="4" w:space="0"/>
              <w:left w:val="single" w:color="000000" w:sz="4" w:space="0"/>
              <w:bottom w:val="single" w:color="000000" w:sz="4" w:space="0"/>
              <w:right w:val="single" w:color="000000" w:sz="4" w:space="0"/>
            </w:tcBorders>
            <w:vAlign w:val="center"/>
          </w:tcPr>
          <w:p w14:paraId="1E1B336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电子商务平台监督检查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407093E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《中华人民共和国电子商务法》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2B333A90">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电子商务平台企业</w:t>
            </w:r>
          </w:p>
        </w:tc>
        <w:tc>
          <w:tcPr>
            <w:tcW w:w="1440" w:type="dxa"/>
            <w:tcBorders>
              <w:top w:val="single" w:color="000000" w:sz="4" w:space="0"/>
              <w:left w:val="single" w:color="000000" w:sz="4" w:space="0"/>
              <w:bottom w:val="single" w:color="000000" w:sz="4" w:space="0"/>
              <w:right w:val="single" w:color="000000" w:sz="4" w:space="0"/>
            </w:tcBorders>
            <w:vAlign w:val="center"/>
          </w:tcPr>
          <w:p w14:paraId="2B86162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2CF1400C">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3757557E">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3317C610">
        <w:tblPrEx>
          <w:tblCellMar>
            <w:top w:w="0" w:type="dxa"/>
            <w:left w:w="108" w:type="dxa"/>
            <w:bottom w:w="0" w:type="dxa"/>
            <w:right w:w="108" w:type="dxa"/>
          </w:tblCellMar>
        </w:tblPrEx>
        <w:trPr>
          <w:trHeight w:val="146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29A996E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835" w:type="dxa"/>
            <w:tcBorders>
              <w:top w:val="single" w:color="000000" w:sz="4" w:space="0"/>
              <w:left w:val="single" w:color="000000" w:sz="4" w:space="0"/>
              <w:bottom w:val="single" w:color="000000" w:sz="4" w:space="0"/>
              <w:right w:val="single" w:color="000000" w:sz="4" w:space="0"/>
            </w:tcBorders>
            <w:vAlign w:val="center"/>
          </w:tcPr>
          <w:p w14:paraId="58B68FD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检验检测机构（除环境类、机动车类）监督检查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51C40E2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《检验检测机构资质认定管理办法》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63B1DB9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w:t>
            </w:r>
          </w:p>
        </w:tc>
        <w:tc>
          <w:tcPr>
            <w:tcW w:w="1440" w:type="dxa"/>
            <w:tcBorders>
              <w:top w:val="single" w:color="000000" w:sz="4" w:space="0"/>
              <w:left w:val="single" w:color="000000" w:sz="4" w:space="0"/>
              <w:bottom w:val="single" w:color="000000" w:sz="4" w:space="0"/>
              <w:right w:val="single" w:color="000000" w:sz="4" w:space="0"/>
            </w:tcBorders>
            <w:vAlign w:val="center"/>
          </w:tcPr>
          <w:p w14:paraId="141D72A6">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239BAE02">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检查比例不低于10%</w:t>
            </w:r>
          </w:p>
        </w:tc>
        <w:tc>
          <w:tcPr>
            <w:tcW w:w="1380" w:type="dxa"/>
            <w:tcBorders>
              <w:top w:val="single" w:color="000000" w:sz="4" w:space="0"/>
              <w:left w:val="single" w:color="000000" w:sz="4" w:space="0"/>
              <w:bottom w:val="single" w:color="000000" w:sz="4" w:space="0"/>
              <w:right w:val="single" w:color="000000" w:sz="4" w:space="0"/>
            </w:tcBorders>
            <w:vAlign w:val="center"/>
          </w:tcPr>
          <w:p w14:paraId="166252DE">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1EF70852">
        <w:tblPrEx>
          <w:tblCellMar>
            <w:top w:w="0" w:type="dxa"/>
            <w:left w:w="108" w:type="dxa"/>
            <w:bottom w:w="0" w:type="dxa"/>
            <w:right w:w="108" w:type="dxa"/>
          </w:tblCellMar>
        </w:tblPrEx>
        <w:trPr>
          <w:trHeight w:val="144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655D0F7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835" w:type="dxa"/>
            <w:tcBorders>
              <w:top w:val="single" w:color="000000" w:sz="4" w:space="0"/>
              <w:left w:val="single" w:color="000000" w:sz="4" w:space="0"/>
              <w:bottom w:val="single" w:color="000000" w:sz="4" w:space="0"/>
              <w:right w:val="single" w:color="000000" w:sz="4" w:space="0"/>
            </w:tcBorders>
            <w:vAlign w:val="center"/>
          </w:tcPr>
          <w:p w14:paraId="22C627E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环境类检验检测机构监督检查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51912A2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《检验检测机构资质认定管理办法》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252E76FD">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w:t>
            </w:r>
          </w:p>
        </w:tc>
        <w:tc>
          <w:tcPr>
            <w:tcW w:w="1440" w:type="dxa"/>
            <w:tcBorders>
              <w:top w:val="single" w:color="000000" w:sz="4" w:space="0"/>
              <w:left w:val="single" w:color="000000" w:sz="4" w:space="0"/>
              <w:bottom w:val="single" w:color="000000" w:sz="4" w:space="0"/>
              <w:right w:val="single" w:color="000000" w:sz="4" w:space="0"/>
            </w:tcBorders>
            <w:vAlign w:val="center"/>
          </w:tcPr>
          <w:p w14:paraId="1B67788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03591BD8">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1A96234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69723810">
        <w:tblPrEx>
          <w:tblCellMar>
            <w:top w:w="0" w:type="dxa"/>
            <w:left w:w="108" w:type="dxa"/>
            <w:bottom w:w="0" w:type="dxa"/>
            <w:right w:w="108" w:type="dxa"/>
          </w:tblCellMar>
        </w:tblPrEx>
        <w:trPr>
          <w:trHeight w:val="158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309D08B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2835" w:type="dxa"/>
            <w:tcBorders>
              <w:top w:val="single" w:color="000000" w:sz="4" w:space="0"/>
              <w:left w:val="single" w:color="000000" w:sz="4" w:space="0"/>
              <w:bottom w:val="single" w:color="000000" w:sz="4" w:space="0"/>
              <w:right w:val="single" w:color="000000" w:sz="4" w:space="0"/>
            </w:tcBorders>
            <w:vAlign w:val="center"/>
          </w:tcPr>
          <w:p w14:paraId="4A47B2AC">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机动车检测机构企业监督检查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5A71CDE4">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《检验检测机构资质认定管理办法》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126B5EA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机动车检测机构</w:t>
            </w:r>
          </w:p>
        </w:tc>
        <w:tc>
          <w:tcPr>
            <w:tcW w:w="1440" w:type="dxa"/>
            <w:tcBorders>
              <w:top w:val="single" w:color="000000" w:sz="4" w:space="0"/>
              <w:left w:val="single" w:color="000000" w:sz="4" w:space="0"/>
              <w:bottom w:val="single" w:color="000000" w:sz="4" w:space="0"/>
              <w:right w:val="single" w:color="000000" w:sz="4" w:space="0"/>
            </w:tcBorders>
            <w:vAlign w:val="center"/>
          </w:tcPr>
          <w:p w14:paraId="1C63FB2C">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109E2C6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1919735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1AB8F45A">
        <w:tblPrEx>
          <w:tblCellMar>
            <w:top w:w="0" w:type="dxa"/>
            <w:left w:w="108" w:type="dxa"/>
            <w:bottom w:w="0" w:type="dxa"/>
            <w:right w:w="108" w:type="dxa"/>
          </w:tblCellMar>
        </w:tblPrEx>
        <w:trPr>
          <w:trHeight w:val="164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2D5E86F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2835" w:type="dxa"/>
            <w:tcBorders>
              <w:top w:val="single" w:color="000000" w:sz="4" w:space="0"/>
              <w:left w:val="single" w:color="000000" w:sz="4" w:space="0"/>
              <w:bottom w:val="single" w:color="000000" w:sz="4" w:space="0"/>
              <w:right w:val="single" w:color="000000" w:sz="4" w:space="0"/>
            </w:tcBorders>
            <w:vAlign w:val="center"/>
          </w:tcPr>
          <w:p w14:paraId="514E87A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工业生产许可证获证企业监督检查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7CB80E6F">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《中华人民共和国产品质量法》《中华人民共和国认证认可条例》《中华人民共和国工业产品生产许可证管理条例》《产品质量监督抽查管理暂行办法》 </w:t>
            </w:r>
          </w:p>
        </w:tc>
        <w:tc>
          <w:tcPr>
            <w:tcW w:w="2085" w:type="dxa"/>
            <w:tcBorders>
              <w:top w:val="single" w:color="000000" w:sz="4" w:space="0"/>
              <w:left w:val="single" w:color="000000" w:sz="4" w:space="0"/>
              <w:bottom w:val="single" w:color="000000" w:sz="4" w:space="0"/>
              <w:right w:val="single" w:color="000000" w:sz="4" w:space="0"/>
            </w:tcBorders>
            <w:vAlign w:val="center"/>
          </w:tcPr>
          <w:p w14:paraId="462EBEC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工业生产许可证获证企业</w:t>
            </w:r>
          </w:p>
        </w:tc>
        <w:tc>
          <w:tcPr>
            <w:tcW w:w="1440" w:type="dxa"/>
            <w:tcBorders>
              <w:top w:val="single" w:color="000000" w:sz="4" w:space="0"/>
              <w:left w:val="single" w:color="000000" w:sz="4" w:space="0"/>
              <w:bottom w:val="single" w:color="000000" w:sz="4" w:space="0"/>
              <w:right w:val="single" w:color="000000" w:sz="4" w:space="0"/>
            </w:tcBorders>
            <w:vAlign w:val="center"/>
          </w:tcPr>
          <w:p w14:paraId="3377982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4475517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26B7BC62">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6A66034C">
        <w:tblPrEx>
          <w:tblCellMar>
            <w:top w:w="0" w:type="dxa"/>
            <w:left w:w="108" w:type="dxa"/>
            <w:bottom w:w="0" w:type="dxa"/>
            <w:right w:w="108" w:type="dxa"/>
          </w:tblCellMar>
        </w:tblPrEx>
        <w:trPr>
          <w:trHeight w:val="186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4BB6380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2835" w:type="dxa"/>
            <w:tcBorders>
              <w:top w:val="single" w:color="000000" w:sz="4" w:space="0"/>
              <w:left w:val="single" w:color="000000" w:sz="4" w:space="0"/>
              <w:bottom w:val="single" w:color="000000" w:sz="4" w:space="0"/>
              <w:right w:val="single" w:color="000000" w:sz="4" w:space="0"/>
            </w:tcBorders>
            <w:vAlign w:val="center"/>
          </w:tcPr>
          <w:p w14:paraId="64EEB99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定量包装商品净含量计量监督检查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38853C61">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《定量包装商品计量监督管理办法》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3BCADDF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食品生产企业</w:t>
            </w:r>
          </w:p>
        </w:tc>
        <w:tc>
          <w:tcPr>
            <w:tcW w:w="1440" w:type="dxa"/>
            <w:tcBorders>
              <w:top w:val="single" w:color="000000" w:sz="4" w:space="0"/>
              <w:left w:val="single" w:color="000000" w:sz="4" w:space="0"/>
              <w:bottom w:val="single" w:color="000000" w:sz="4" w:space="0"/>
              <w:right w:val="single" w:color="000000" w:sz="4" w:space="0"/>
            </w:tcBorders>
            <w:vAlign w:val="center"/>
          </w:tcPr>
          <w:p w14:paraId="22F75D7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66E5242F">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检查比例不低于5%</w:t>
            </w:r>
          </w:p>
        </w:tc>
        <w:tc>
          <w:tcPr>
            <w:tcW w:w="1380" w:type="dxa"/>
            <w:tcBorders>
              <w:top w:val="single" w:color="000000" w:sz="4" w:space="0"/>
              <w:left w:val="single" w:color="000000" w:sz="4" w:space="0"/>
              <w:bottom w:val="single" w:color="000000" w:sz="4" w:space="0"/>
              <w:right w:val="single" w:color="000000" w:sz="4" w:space="0"/>
            </w:tcBorders>
            <w:vAlign w:val="center"/>
          </w:tcPr>
          <w:p w14:paraId="14E3703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60831E55">
        <w:tblPrEx>
          <w:tblCellMar>
            <w:top w:w="0" w:type="dxa"/>
            <w:left w:w="108" w:type="dxa"/>
            <w:bottom w:w="0" w:type="dxa"/>
            <w:right w:w="108" w:type="dxa"/>
          </w:tblCellMar>
        </w:tblPrEx>
        <w:trPr>
          <w:trHeight w:val="138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6C0F169C">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2835" w:type="dxa"/>
            <w:tcBorders>
              <w:top w:val="single" w:color="000000" w:sz="4" w:space="0"/>
              <w:left w:val="single" w:color="000000" w:sz="4" w:space="0"/>
              <w:bottom w:val="single" w:color="000000" w:sz="4" w:space="0"/>
              <w:right w:val="single" w:color="000000" w:sz="4" w:space="0"/>
            </w:tcBorders>
            <w:vAlign w:val="center"/>
          </w:tcPr>
          <w:p w14:paraId="0CB8F058">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食品生产企业监督检查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7D2CD421">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《中华人民共和国食品安全法》《食品生产经营监督检查管理办法》《中华人民共和国食品安全法实施条例》</w:t>
            </w:r>
          </w:p>
        </w:tc>
        <w:tc>
          <w:tcPr>
            <w:tcW w:w="2085" w:type="dxa"/>
            <w:tcBorders>
              <w:top w:val="single" w:color="000000" w:sz="4" w:space="0"/>
              <w:left w:val="single" w:color="000000" w:sz="4" w:space="0"/>
              <w:bottom w:val="single" w:color="000000" w:sz="4" w:space="0"/>
              <w:right w:val="single" w:color="000000" w:sz="4" w:space="0"/>
            </w:tcBorders>
            <w:vAlign w:val="center"/>
          </w:tcPr>
          <w:p w14:paraId="4987D35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食品生产企业</w:t>
            </w:r>
          </w:p>
        </w:tc>
        <w:tc>
          <w:tcPr>
            <w:tcW w:w="1440" w:type="dxa"/>
            <w:tcBorders>
              <w:top w:val="single" w:color="000000" w:sz="4" w:space="0"/>
              <w:left w:val="single" w:color="000000" w:sz="4" w:space="0"/>
              <w:bottom w:val="single" w:color="000000" w:sz="4" w:space="0"/>
              <w:right w:val="single" w:color="000000" w:sz="4" w:space="0"/>
            </w:tcBorders>
            <w:vAlign w:val="center"/>
          </w:tcPr>
          <w:p w14:paraId="416F858F">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6097077C">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458B4F3A">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2FE0676E">
        <w:tblPrEx>
          <w:tblCellMar>
            <w:top w:w="0" w:type="dxa"/>
            <w:left w:w="108" w:type="dxa"/>
            <w:bottom w:w="0" w:type="dxa"/>
            <w:right w:w="108" w:type="dxa"/>
          </w:tblCellMar>
        </w:tblPrEx>
        <w:trPr>
          <w:trHeight w:val="624"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2B0BD50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2835" w:type="dxa"/>
            <w:tcBorders>
              <w:top w:val="single" w:color="000000" w:sz="4" w:space="0"/>
              <w:left w:val="single" w:color="000000" w:sz="4" w:space="0"/>
              <w:bottom w:val="single" w:color="000000" w:sz="4" w:space="0"/>
              <w:right w:val="single" w:color="000000" w:sz="4" w:space="0"/>
            </w:tcBorders>
            <w:vAlign w:val="bottom"/>
          </w:tcPr>
          <w:p w14:paraId="01A53998">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食品小作坊安全监督检查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6E3D3C2C">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《中华人民共和国食品安全法》《江苏省食品小作坊和食品摊贩管理条例》</w:t>
            </w:r>
          </w:p>
        </w:tc>
        <w:tc>
          <w:tcPr>
            <w:tcW w:w="2085" w:type="dxa"/>
            <w:tcBorders>
              <w:top w:val="single" w:color="000000" w:sz="4" w:space="0"/>
              <w:left w:val="single" w:color="000000" w:sz="4" w:space="0"/>
              <w:bottom w:val="single" w:color="000000" w:sz="4" w:space="0"/>
              <w:right w:val="single" w:color="000000" w:sz="4" w:space="0"/>
            </w:tcBorders>
            <w:vAlign w:val="center"/>
          </w:tcPr>
          <w:p w14:paraId="18948C92">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食品小作坊</w:t>
            </w:r>
          </w:p>
        </w:tc>
        <w:tc>
          <w:tcPr>
            <w:tcW w:w="1440" w:type="dxa"/>
            <w:tcBorders>
              <w:top w:val="single" w:color="000000" w:sz="4" w:space="0"/>
              <w:left w:val="single" w:color="000000" w:sz="4" w:space="0"/>
              <w:bottom w:val="single" w:color="000000" w:sz="4" w:space="0"/>
              <w:right w:val="single" w:color="000000" w:sz="4" w:space="0"/>
            </w:tcBorders>
            <w:vAlign w:val="center"/>
          </w:tcPr>
          <w:p w14:paraId="72A83B8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14CED6D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4BC4CED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0356D761">
        <w:tblPrEx>
          <w:tblCellMar>
            <w:top w:w="0" w:type="dxa"/>
            <w:left w:w="108" w:type="dxa"/>
            <w:bottom w:w="0" w:type="dxa"/>
            <w:right w:w="108" w:type="dxa"/>
          </w:tblCellMar>
        </w:tblPrEx>
        <w:trPr>
          <w:trHeight w:val="264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084B9D97">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2835" w:type="dxa"/>
            <w:tcBorders>
              <w:top w:val="single" w:color="000000" w:sz="4" w:space="0"/>
              <w:left w:val="single" w:color="000000" w:sz="4" w:space="0"/>
              <w:bottom w:val="single" w:color="000000" w:sz="4" w:space="0"/>
              <w:right w:val="single" w:color="000000" w:sz="4" w:space="0"/>
            </w:tcBorders>
            <w:vAlign w:val="center"/>
          </w:tcPr>
          <w:p w14:paraId="75CD74C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食品经营单位安全监督检查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4070DE10">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《中华人民共和国食品安全法》《中华人民共和国食品安全法实施条例》《食品生产经营监督检查管理办法》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651613F5">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食品经营单位</w:t>
            </w:r>
          </w:p>
        </w:tc>
        <w:tc>
          <w:tcPr>
            <w:tcW w:w="1440" w:type="dxa"/>
            <w:tcBorders>
              <w:top w:val="single" w:color="000000" w:sz="4" w:space="0"/>
              <w:left w:val="single" w:color="000000" w:sz="4" w:space="0"/>
              <w:bottom w:val="single" w:color="000000" w:sz="4" w:space="0"/>
              <w:right w:val="single" w:color="000000" w:sz="4" w:space="0"/>
            </w:tcBorders>
            <w:vAlign w:val="center"/>
          </w:tcPr>
          <w:p w14:paraId="298F9095">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08121F85">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风险等级A级每年检查比例不低于50%；风险等级B、C、D级，每年全覆盖检查，其中B级每年至少检查1次，C级每年至少检查2次，D级每年至少检查3次。</w:t>
            </w:r>
          </w:p>
        </w:tc>
        <w:tc>
          <w:tcPr>
            <w:tcW w:w="1380" w:type="dxa"/>
            <w:tcBorders>
              <w:top w:val="single" w:color="000000" w:sz="4" w:space="0"/>
              <w:left w:val="single" w:color="000000" w:sz="4" w:space="0"/>
              <w:bottom w:val="single" w:color="000000" w:sz="4" w:space="0"/>
              <w:right w:val="single" w:color="000000" w:sz="4" w:space="0"/>
            </w:tcBorders>
            <w:vAlign w:val="center"/>
          </w:tcPr>
          <w:p w14:paraId="1FA8027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5CB24208">
        <w:tblPrEx>
          <w:tblCellMar>
            <w:top w:w="0" w:type="dxa"/>
            <w:left w:w="108" w:type="dxa"/>
            <w:bottom w:w="0" w:type="dxa"/>
            <w:right w:w="108" w:type="dxa"/>
          </w:tblCellMar>
        </w:tblPrEx>
        <w:trPr>
          <w:trHeight w:val="278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0D672D24">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2835" w:type="dxa"/>
            <w:tcBorders>
              <w:top w:val="single" w:color="000000" w:sz="4" w:space="0"/>
              <w:left w:val="single" w:color="000000" w:sz="4" w:space="0"/>
              <w:bottom w:val="single" w:color="000000" w:sz="4" w:space="0"/>
              <w:right w:val="single" w:color="000000" w:sz="4" w:space="0"/>
            </w:tcBorders>
            <w:vAlign w:val="center"/>
          </w:tcPr>
          <w:p w14:paraId="235E163D">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特种设备使用单位监督检查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46AC9889">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《特种设备安全监督检查办法》《市场监管总局办公厅关于实施&lt;特种设备安全监督检查办法&gt;若干问题的意见》</w:t>
            </w:r>
          </w:p>
        </w:tc>
        <w:tc>
          <w:tcPr>
            <w:tcW w:w="2085" w:type="dxa"/>
            <w:tcBorders>
              <w:top w:val="single" w:color="000000" w:sz="4" w:space="0"/>
              <w:left w:val="single" w:color="000000" w:sz="4" w:space="0"/>
              <w:bottom w:val="single" w:color="000000" w:sz="4" w:space="0"/>
              <w:right w:val="single" w:color="000000" w:sz="4" w:space="0"/>
            </w:tcBorders>
            <w:vAlign w:val="center"/>
          </w:tcPr>
          <w:p w14:paraId="59DFF5D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特种设备使用单位</w:t>
            </w:r>
          </w:p>
        </w:tc>
        <w:tc>
          <w:tcPr>
            <w:tcW w:w="1440" w:type="dxa"/>
            <w:tcBorders>
              <w:top w:val="single" w:color="000000" w:sz="4" w:space="0"/>
              <w:left w:val="single" w:color="000000" w:sz="4" w:space="0"/>
              <w:bottom w:val="single" w:color="000000" w:sz="4" w:space="0"/>
              <w:right w:val="single" w:color="000000" w:sz="4" w:space="0"/>
            </w:tcBorders>
            <w:vAlign w:val="center"/>
          </w:tcPr>
          <w:p w14:paraId="6B5809D6">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1F067C57">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使用单位抽查比例不低于辖区使用单位数量的5%，重点监督检查单位抽查比例不低于50%，其中重点监督检查使用单位抽查数量可纳入使用单位抽整。</w:t>
            </w:r>
          </w:p>
        </w:tc>
        <w:tc>
          <w:tcPr>
            <w:tcW w:w="1380" w:type="dxa"/>
            <w:tcBorders>
              <w:top w:val="single" w:color="000000" w:sz="4" w:space="0"/>
              <w:left w:val="single" w:color="000000" w:sz="4" w:space="0"/>
              <w:bottom w:val="single" w:color="000000" w:sz="4" w:space="0"/>
              <w:right w:val="single" w:color="000000" w:sz="4" w:space="0"/>
            </w:tcBorders>
            <w:vAlign w:val="center"/>
          </w:tcPr>
          <w:p w14:paraId="66845662">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3C1DC3F1">
        <w:tblPrEx>
          <w:tblCellMar>
            <w:top w:w="0" w:type="dxa"/>
            <w:left w:w="108" w:type="dxa"/>
            <w:bottom w:w="0" w:type="dxa"/>
            <w:right w:w="108" w:type="dxa"/>
          </w:tblCellMar>
        </w:tblPrEx>
        <w:trPr>
          <w:trHeight w:val="1880" w:hRule="atLeast"/>
        </w:trPr>
        <w:tc>
          <w:tcPr>
            <w:tcW w:w="1080" w:type="dxa"/>
            <w:tcBorders>
              <w:top w:val="single" w:color="000000" w:sz="4" w:space="0"/>
              <w:left w:val="single" w:color="000000" w:sz="4" w:space="0"/>
              <w:bottom w:val="single" w:color="000000" w:sz="4" w:space="0"/>
              <w:right w:val="single" w:color="000000" w:sz="4" w:space="0"/>
            </w:tcBorders>
            <w:vAlign w:val="center"/>
          </w:tcPr>
          <w:p w14:paraId="0A77D9B6">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2835" w:type="dxa"/>
            <w:tcBorders>
              <w:top w:val="single" w:color="000000" w:sz="4" w:space="0"/>
              <w:left w:val="single" w:color="000000" w:sz="4" w:space="0"/>
              <w:bottom w:val="single" w:color="000000" w:sz="4" w:space="0"/>
              <w:right w:val="single" w:color="000000" w:sz="4" w:space="0"/>
            </w:tcBorders>
            <w:vAlign w:val="center"/>
          </w:tcPr>
          <w:p w14:paraId="5FDA2D7B">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药品经营使用单位监督检查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3F4FDAC8">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《中华人民共和国药品管理法》、《中华人民共和国疫苗管理法》、《药品网络销售监督管理办法》</w:t>
            </w:r>
          </w:p>
        </w:tc>
        <w:tc>
          <w:tcPr>
            <w:tcW w:w="2085" w:type="dxa"/>
            <w:tcBorders>
              <w:top w:val="single" w:color="000000" w:sz="4" w:space="0"/>
              <w:left w:val="single" w:color="000000" w:sz="4" w:space="0"/>
              <w:bottom w:val="single" w:color="000000" w:sz="4" w:space="0"/>
              <w:right w:val="single" w:color="000000" w:sz="4" w:space="0"/>
            </w:tcBorders>
            <w:vAlign w:val="center"/>
          </w:tcPr>
          <w:p w14:paraId="7D0E670D">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药品经营使用单位</w:t>
            </w:r>
          </w:p>
        </w:tc>
        <w:tc>
          <w:tcPr>
            <w:tcW w:w="1440" w:type="dxa"/>
            <w:tcBorders>
              <w:top w:val="single" w:color="000000" w:sz="4" w:space="0"/>
              <w:left w:val="single" w:color="000000" w:sz="4" w:space="0"/>
              <w:bottom w:val="single" w:color="000000" w:sz="4" w:space="0"/>
              <w:right w:val="single" w:color="000000" w:sz="4" w:space="0"/>
            </w:tcBorders>
            <w:vAlign w:val="center"/>
          </w:tcPr>
          <w:p w14:paraId="0CD8D138">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3CFAD716">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零售药店检查比例不低于三分之一；医疗机构检查比例不低于35%；疾病预防控制机构及疫苗接种单位全覆盖</w:t>
            </w:r>
          </w:p>
        </w:tc>
        <w:tc>
          <w:tcPr>
            <w:tcW w:w="1380" w:type="dxa"/>
            <w:tcBorders>
              <w:top w:val="single" w:color="000000" w:sz="4" w:space="0"/>
              <w:left w:val="single" w:color="000000" w:sz="4" w:space="0"/>
              <w:bottom w:val="single" w:color="000000" w:sz="4" w:space="0"/>
              <w:right w:val="single" w:color="000000" w:sz="4" w:space="0"/>
            </w:tcBorders>
            <w:vAlign w:val="center"/>
          </w:tcPr>
          <w:p w14:paraId="7CD4A575">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635EB835">
        <w:tblPrEx>
          <w:tblCellMar>
            <w:top w:w="0" w:type="dxa"/>
            <w:left w:w="108" w:type="dxa"/>
            <w:bottom w:w="0" w:type="dxa"/>
            <w:right w:w="108" w:type="dxa"/>
          </w:tblCellMar>
        </w:tblPrEx>
        <w:trPr>
          <w:trHeight w:val="2496" w:hRule="atLeast"/>
        </w:trPr>
        <w:tc>
          <w:tcPr>
            <w:tcW w:w="1080" w:type="dxa"/>
            <w:tcBorders>
              <w:top w:val="single" w:color="000000" w:sz="4" w:space="0"/>
              <w:left w:val="single" w:color="000000" w:sz="4" w:space="0"/>
              <w:bottom w:val="nil"/>
              <w:right w:val="single" w:color="000000" w:sz="4" w:space="0"/>
            </w:tcBorders>
            <w:vAlign w:val="center"/>
          </w:tcPr>
          <w:p w14:paraId="4BC101C6">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12</w:t>
            </w:r>
          </w:p>
        </w:tc>
        <w:tc>
          <w:tcPr>
            <w:tcW w:w="2835" w:type="dxa"/>
            <w:tcBorders>
              <w:top w:val="single" w:color="000000" w:sz="4" w:space="0"/>
              <w:left w:val="single" w:color="000000" w:sz="4" w:space="0"/>
              <w:bottom w:val="nil"/>
              <w:right w:val="single" w:color="000000" w:sz="4" w:space="0"/>
            </w:tcBorders>
            <w:vAlign w:val="center"/>
          </w:tcPr>
          <w:p w14:paraId="70E4E9A5">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医疗器械生产经营使用单位监督检查</w:t>
            </w:r>
          </w:p>
        </w:tc>
        <w:tc>
          <w:tcPr>
            <w:tcW w:w="4185" w:type="dxa"/>
            <w:tcBorders>
              <w:top w:val="single" w:color="000000" w:sz="4" w:space="0"/>
              <w:left w:val="single" w:color="000000" w:sz="4" w:space="0"/>
              <w:bottom w:val="nil"/>
              <w:right w:val="single" w:color="000000" w:sz="4" w:space="0"/>
            </w:tcBorders>
            <w:vAlign w:val="center"/>
          </w:tcPr>
          <w:p w14:paraId="44F446B4">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《医疗器械监督管理条例》、《医疗器械生产监督管理办法》、《医疗器械经营监督管理办法》、《关于贯彻落实国家药监局部署要求进一步推进医疗器械经营分级监管工作的通知》(苏药监办经营〔2022〕206号)</w:t>
            </w:r>
          </w:p>
        </w:tc>
        <w:tc>
          <w:tcPr>
            <w:tcW w:w="2085" w:type="dxa"/>
            <w:tcBorders>
              <w:top w:val="single" w:color="000000" w:sz="4" w:space="0"/>
              <w:left w:val="single" w:color="000000" w:sz="4" w:space="0"/>
              <w:bottom w:val="nil"/>
              <w:right w:val="single" w:color="000000" w:sz="4" w:space="0"/>
            </w:tcBorders>
            <w:vAlign w:val="center"/>
          </w:tcPr>
          <w:p w14:paraId="0E44920E">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医疗器械生产经营使用单位</w:t>
            </w:r>
          </w:p>
        </w:tc>
        <w:tc>
          <w:tcPr>
            <w:tcW w:w="1440" w:type="dxa"/>
            <w:tcBorders>
              <w:top w:val="single" w:color="000000" w:sz="4" w:space="0"/>
              <w:left w:val="single" w:color="000000" w:sz="4" w:space="0"/>
              <w:bottom w:val="single" w:color="000000" w:sz="4" w:space="0"/>
              <w:right w:val="single" w:color="000000" w:sz="4" w:space="0"/>
            </w:tcBorders>
            <w:vAlign w:val="center"/>
          </w:tcPr>
          <w:p w14:paraId="41094248">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nil"/>
              <w:right w:val="single" w:color="000000" w:sz="4" w:space="0"/>
            </w:tcBorders>
            <w:vAlign w:val="center"/>
          </w:tcPr>
          <w:p w14:paraId="77E11FC8">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医疗器械企业分级监管，一级监管企业检查比例不低于25%，二级监管企业检查比例不低于50%，三级监管企业每年度全覆盖，四级监管企业每年度全覆盖。</w:t>
            </w:r>
          </w:p>
        </w:tc>
        <w:tc>
          <w:tcPr>
            <w:tcW w:w="1380" w:type="dxa"/>
            <w:tcBorders>
              <w:top w:val="single" w:color="000000" w:sz="4" w:space="0"/>
              <w:left w:val="single" w:color="000000" w:sz="4" w:space="0"/>
              <w:bottom w:val="nil"/>
              <w:right w:val="single" w:color="000000" w:sz="4" w:space="0"/>
            </w:tcBorders>
            <w:vAlign w:val="center"/>
          </w:tcPr>
          <w:p w14:paraId="12113127">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5F008815">
        <w:tblPrEx>
          <w:tblCellMar>
            <w:top w:w="0" w:type="dxa"/>
            <w:left w:w="108" w:type="dxa"/>
            <w:bottom w:w="0" w:type="dxa"/>
            <w:right w:w="108" w:type="dxa"/>
          </w:tblCellMar>
        </w:tblPrEx>
        <w:trPr>
          <w:trHeight w:val="1000" w:hRule="atLeast"/>
        </w:trPr>
        <w:tc>
          <w:tcPr>
            <w:tcW w:w="1080" w:type="dxa"/>
            <w:tcBorders>
              <w:top w:val="single" w:color="000000" w:sz="4" w:space="0"/>
              <w:left w:val="single" w:color="000000" w:sz="4" w:space="0"/>
              <w:bottom w:val="nil"/>
              <w:right w:val="single" w:color="000000" w:sz="4" w:space="0"/>
            </w:tcBorders>
            <w:vAlign w:val="center"/>
          </w:tcPr>
          <w:p w14:paraId="05F3F4B6">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13</w:t>
            </w:r>
          </w:p>
        </w:tc>
        <w:tc>
          <w:tcPr>
            <w:tcW w:w="2835" w:type="dxa"/>
            <w:tcBorders>
              <w:top w:val="single" w:color="000000" w:sz="4" w:space="0"/>
              <w:left w:val="single" w:color="000000" w:sz="4" w:space="0"/>
              <w:bottom w:val="single" w:color="000000" w:sz="4" w:space="0"/>
              <w:right w:val="single" w:color="000000" w:sz="4" w:space="0"/>
            </w:tcBorders>
            <w:vAlign w:val="center"/>
          </w:tcPr>
          <w:p w14:paraId="74EF3F5E">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大型餐饮单位用盐情况监督检查</w:t>
            </w:r>
          </w:p>
        </w:tc>
        <w:tc>
          <w:tcPr>
            <w:tcW w:w="4185" w:type="dxa"/>
            <w:tcBorders>
              <w:top w:val="single" w:color="000000" w:sz="4" w:space="0"/>
              <w:left w:val="single" w:color="000000" w:sz="4" w:space="0"/>
              <w:bottom w:val="nil"/>
              <w:right w:val="single" w:color="000000" w:sz="4" w:space="0"/>
            </w:tcBorders>
            <w:vAlign w:val="center"/>
          </w:tcPr>
          <w:p w14:paraId="37012F08">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《中华人民共和国食品安全法》《食盐专营办法》等</w:t>
            </w:r>
          </w:p>
        </w:tc>
        <w:tc>
          <w:tcPr>
            <w:tcW w:w="2085" w:type="dxa"/>
            <w:tcBorders>
              <w:top w:val="single" w:color="000000" w:sz="4" w:space="0"/>
              <w:left w:val="single" w:color="000000" w:sz="4" w:space="0"/>
              <w:bottom w:val="nil"/>
              <w:right w:val="single" w:color="000000" w:sz="4" w:space="0"/>
            </w:tcBorders>
            <w:vAlign w:val="center"/>
          </w:tcPr>
          <w:p w14:paraId="66FDC36E">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大型餐饮单位</w:t>
            </w:r>
          </w:p>
        </w:tc>
        <w:tc>
          <w:tcPr>
            <w:tcW w:w="1440" w:type="dxa"/>
            <w:tcBorders>
              <w:top w:val="single" w:color="000000" w:sz="4" w:space="0"/>
              <w:left w:val="single" w:color="000000" w:sz="4" w:space="0"/>
              <w:bottom w:val="nil"/>
              <w:right w:val="single" w:color="000000" w:sz="4" w:space="0"/>
            </w:tcBorders>
            <w:vAlign w:val="center"/>
          </w:tcPr>
          <w:p w14:paraId="1E5A7BE5">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nil"/>
              <w:right w:val="single" w:color="000000" w:sz="4" w:space="0"/>
            </w:tcBorders>
            <w:vAlign w:val="center"/>
          </w:tcPr>
          <w:p w14:paraId="02ACCFEC">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检查比例不低于15%</w:t>
            </w:r>
          </w:p>
        </w:tc>
        <w:tc>
          <w:tcPr>
            <w:tcW w:w="1380" w:type="dxa"/>
            <w:tcBorders>
              <w:top w:val="single" w:color="000000" w:sz="4" w:space="0"/>
              <w:left w:val="single" w:color="000000" w:sz="4" w:space="0"/>
              <w:bottom w:val="nil"/>
              <w:right w:val="single" w:color="000000" w:sz="4" w:space="0"/>
            </w:tcBorders>
            <w:vAlign w:val="center"/>
          </w:tcPr>
          <w:p w14:paraId="144C2850">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046C4DB0">
        <w:tblPrEx>
          <w:tblCellMar>
            <w:top w:w="0" w:type="dxa"/>
            <w:left w:w="108" w:type="dxa"/>
            <w:bottom w:w="0" w:type="dxa"/>
            <w:right w:w="108" w:type="dxa"/>
          </w:tblCellMar>
        </w:tblPrEx>
        <w:trPr>
          <w:trHeight w:val="1248" w:hRule="atLeast"/>
        </w:trPr>
        <w:tc>
          <w:tcPr>
            <w:tcW w:w="1080" w:type="dxa"/>
            <w:tcBorders>
              <w:top w:val="single" w:color="000000" w:sz="4" w:space="0"/>
              <w:left w:val="single" w:color="000000" w:sz="4" w:space="0"/>
              <w:bottom w:val="nil"/>
              <w:right w:val="single" w:color="000000" w:sz="4" w:space="0"/>
            </w:tcBorders>
            <w:vAlign w:val="center"/>
          </w:tcPr>
          <w:p w14:paraId="0DE9C7C1">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14</w:t>
            </w:r>
          </w:p>
        </w:tc>
        <w:tc>
          <w:tcPr>
            <w:tcW w:w="2835" w:type="dxa"/>
            <w:tcBorders>
              <w:top w:val="nil"/>
              <w:left w:val="nil"/>
              <w:bottom w:val="nil"/>
              <w:right w:val="nil"/>
            </w:tcBorders>
            <w:vAlign w:val="center"/>
          </w:tcPr>
          <w:p w14:paraId="1EC3EED2">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民生领域价格监督检查</w:t>
            </w:r>
          </w:p>
        </w:tc>
        <w:tc>
          <w:tcPr>
            <w:tcW w:w="4185" w:type="dxa"/>
            <w:tcBorders>
              <w:top w:val="single" w:color="000000" w:sz="4" w:space="0"/>
              <w:left w:val="single" w:color="000000" w:sz="4" w:space="0"/>
              <w:bottom w:val="single" w:color="000000" w:sz="4" w:space="0"/>
              <w:right w:val="single" w:color="000000" w:sz="4" w:space="0"/>
            </w:tcBorders>
            <w:vAlign w:val="center"/>
          </w:tcPr>
          <w:p w14:paraId="03645460">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《中华人民共和国价格法》《江苏省价格条例》</w:t>
            </w:r>
          </w:p>
        </w:tc>
        <w:tc>
          <w:tcPr>
            <w:tcW w:w="2085" w:type="dxa"/>
            <w:tcBorders>
              <w:top w:val="single" w:color="000000" w:sz="4" w:space="0"/>
              <w:left w:val="single" w:color="000000" w:sz="4" w:space="0"/>
              <w:bottom w:val="single" w:color="000000" w:sz="4" w:space="0"/>
              <w:right w:val="single" w:color="000000" w:sz="4" w:space="0"/>
            </w:tcBorders>
            <w:vAlign w:val="center"/>
          </w:tcPr>
          <w:p w14:paraId="0058EF8D">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民生领域商品、服务经营单位</w:t>
            </w:r>
          </w:p>
        </w:tc>
        <w:tc>
          <w:tcPr>
            <w:tcW w:w="1440" w:type="dxa"/>
            <w:tcBorders>
              <w:top w:val="single" w:color="000000" w:sz="4" w:space="0"/>
              <w:left w:val="single" w:color="000000" w:sz="4" w:space="0"/>
              <w:bottom w:val="single" w:color="000000" w:sz="4" w:space="0"/>
              <w:right w:val="single" w:color="000000" w:sz="4" w:space="0"/>
            </w:tcBorders>
            <w:vAlign w:val="center"/>
          </w:tcPr>
          <w:p w14:paraId="68A62AE9">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现场检查</w:t>
            </w:r>
          </w:p>
        </w:tc>
        <w:tc>
          <w:tcPr>
            <w:tcW w:w="2295" w:type="dxa"/>
            <w:tcBorders>
              <w:top w:val="single" w:color="000000" w:sz="4" w:space="0"/>
              <w:left w:val="single" w:color="000000" w:sz="4" w:space="0"/>
              <w:bottom w:val="single" w:color="000000" w:sz="4" w:space="0"/>
              <w:right w:val="single" w:color="000000" w:sz="4" w:space="0"/>
            </w:tcBorders>
            <w:vAlign w:val="center"/>
          </w:tcPr>
          <w:p w14:paraId="7AC5D2ED">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供水、供电、供气公用企业不低于30%；公墓、殡仪馆不低于30%。</w:t>
            </w:r>
          </w:p>
        </w:tc>
        <w:tc>
          <w:tcPr>
            <w:tcW w:w="1380" w:type="dxa"/>
            <w:tcBorders>
              <w:top w:val="single" w:color="000000" w:sz="4" w:space="0"/>
              <w:left w:val="single" w:color="000000" w:sz="4" w:space="0"/>
              <w:bottom w:val="single" w:color="000000" w:sz="4" w:space="0"/>
              <w:right w:val="single" w:color="000000" w:sz="4" w:space="0"/>
            </w:tcBorders>
            <w:vAlign w:val="center"/>
          </w:tcPr>
          <w:p w14:paraId="6413F143">
            <w:pPr>
              <w:keepNext w:val="0"/>
              <w:keepLines w:val="0"/>
              <w:widowControl/>
              <w:suppressLineNumbers w:val="0"/>
              <w:jc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1年1次</w:t>
            </w:r>
          </w:p>
        </w:tc>
      </w:tr>
      <w:tr w14:paraId="0DB1F440">
        <w:tblPrEx>
          <w:tblCellMar>
            <w:top w:w="0" w:type="dxa"/>
            <w:left w:w="108" w:type="dxa"/>
            <w:bottom w:w="0" w:type="dxa"/>
            <w:right w:w="108" w:type="dxa"/>
          </w:tblCellMar>
        </w:tblPrEx>
        <w:trPr>
          <w:trHeight w:val="1080" w:hRule="atLeast"/>
        </w:trPr>
        <w:tc>
          <w:tcPr>
            <w:tcW w:w="15300" w:type="dxa"/>
            <w:gridSpan w:val="7"/>
            <w:tcBorders>
              <w:top w:val="single" w:color="000000" w:sz="4" w:space="0"/>
              <w:left w:val="single" w:color="000000" w:sz="4" w:space="0"/>
              <w:bottom w:val="single" w:color="000000" w:sz="4" w:space="0"/>
              <w:right w:val="single" w:color="000000" w:sz="4" w:space="0"/>
            </w:tcBorders>
            <w:vAlign w:val="center"/>
          </w:tcPr>
          <w:p w14:paraId="47683206">
            <w:pPr>
              <w:keepNext w:val="0"/>
              <w:keepLines w:val="0"/>
              <w:widowControl/>
              <w:suppressLineNumbers w:val="0"/>
              <w:jc w:val="left"/>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备注：“双随机一公开”检查计划已公示在：https://www.ks.gov.cn/kss/c113206pueg/202504/1f5c7510813048f4a4dc37337cffff40.shtml</w:t>
            </w:r>
          </w:p>
        </w:tc>
      </w:tr>
    </w:tbl>
    <w:p w14:paraId="57C09306"/>
    <w:sectPr>
      <w:pgSz w:w="16838" w:h="11906" w:orient="landscape"/>
      <w:pgMar w:top="437" w:right="720" w:bottom="720" w:left="32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8B1AF3">
    <w:pPr>
      <w:widowControl/>
      <w:kinsoku w:val="0"/>
      <w:autoSpaceDE w:val="0"/>
      <w:autoSpaceDN w:val="0"/>
      <w:spacing w:before="1" w:line="178" w:lineRule="auto"/>
      <w:ind w:left="304"/>
      <w:jc w:val="left"/>
      <w:rPr>
        <w:rFonts w:ascii="宋体" w:hAnsi="宋体" w:cs="宋体"/>
        <w:snapToGrid w:val="0"/>
        <w:color w:val="000000"/>
        <w:kern w:val="0"/>
        <w:sz w:val="42"/>
        <w:szCs w:val="4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61AD57"/>
    <w:multiLevelType w:val="singleLevel"/>
    <w:tmpl w:val="FD61AD5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isplayHorizontalDrawingGridEvery w:val="1"/>
  <w:displayVerticalDrawingGridEvery w:val="1"/>
  <w:noPunctuationKerning w:val="1"/>
  <w:characterSpacingControl w:val="compressPunctuation"/>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9E2B8A"/>
    <w:rsid w:val="17A16F52"/>
    <w:rsid w:val="1C355584"/>
    <w:rsid w:val="2E823302"/>
    <w:rsid w:val="64D31D8C"/>
    <w:rsid w:val="6FBF12F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link w:val="19"/>
    <w:qFormat/>
    <w:uiPriority w:val="0"/>
    <w:pPr>
      <w:widowControl w:val="0"/>
      <w:autoSpaceDE/>
      <w:autoSpaceDN/>
      <w:snapToGrid/>
      <w:jc w:val="both"/>
    </w:pPr>
    <w:rPr>
      <w:rFonts w:ascii="Times New Roman" w:hAnsi="Times New Roman" w:eastAsia="宋体" w:cs="Times New Roman"/>
      <w:kern w:val="2"/>
      <w:sz w:val="21"/>
      <w:szCs w:val="24"/>
      <w:lang w:val="en-US" w:eastAsia="zh-CN" w:bidi="ar-SA"/>
    </w:rPr>
  </w:style>
  <w:style w:type="paragraph" w:styleId="2">
    <w:name w:val="heading 1"/>
    <w:next w:val="1"/>
    <w:qFormat/>
    <w:uiPriority w:val="0"/>
    <w:pPr>
      <w:autoSpaceDE/>
      <w:autoSpaceDN/>
      <w:snapToGrid/>
      <w:spacing w:before="380" w:after="140" w:line="288" w:lineRule="auto"/>
      <w:outlineLvl w:val="0"/>
    </w:pPr>
    <w:rPr>
      <w:rFonts w:ascii="Arial" w:hAnsi="Arial" w:eastAsia="等线" w:cs="Arial"/>
      <w:b/>
      <w:bCs/>
      <w:kern w:val="2"/>
      <w:sz w:val="36"/>
      <w:szCs w:val="36"/>
      <w:lang w:val="en-US" w:eastAsia="zh-CN" w:bidi="ar-SA"/>
    </w:rPr>
  </w:style>
  <w:style w:type="paragraph" w:styleId="3">
    <w:name w:val="heading 2"/>
    <w:next w:val="1"/>
    <w:qFormat/>
    <w:uiPriority w:val="0"/>
    <w:pPr>
      <w:autoSpaceDE/>
      <w:autoSpaceDN/>
      <w:snapToGrid/>
      <w:spacing w:before="320" w:after="120" w:line="288" w:lineRule="auto"/>
      <w:outlineLvl w:val="1"/>
    </w:pPr>
    <w:rPr>
      <w:rFonts w:ascii="Arial" w:hAnsi="Arial" w:eastAsia="等线" w:cs="Arial"/>
      <w:b/>
      <w:bCs/>
      <w:kern w:val="2"/>
      <w:sz w:val="32"/>
      <w:szCs w:val="32"/>
      <w:lang w:val="en-US" w:eastAsia="zh-CN" w:bidi="ar-SA"/>
    </w:rPr>
  </w:style>
  <w:style w:type="character" w:default="1" w:styleId="9">
    <w:name w:val="Default Paragraph Font"/>
    <w:link w:val="1"/>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Body Text"/>
    <w:basedOn w:val="1"/>
    <w:qFormat/>
    <w:uiPriority w:val="1"/>
    <w:pPr>
      <w:autoSpaceDE w:val="0"/>
      <w:autoSpaceDN w:val="0"/>
      <w:jc w:val="left"/>
    </w:pPr>
    <w:rPr>
      <w:rFonts w:ascii="宋体" w:hAnsi="宋体" w:eastAsia="宋体" w:cs="宋体"/>
      <w:kern w:val="0"/>
      <w:sz w:val="32"/>
      <w:szCs w:val="32"/>
    </w:rPr>
  </w:style>
  <w:style w:type="paragraph" w:styleId="5">
    <w:name w:val="footer"/>
    <w:basedOn w:val="1"/>
    <w:link w:val="16"/>
    <w:qFormat/>
    <w:uiPriority w:val="0"/>
    <w:pPr>
      <w:tabs>
        <w:tab w:val="center" w:pos="4153"/>
        <w:tab w:val="right" w:pos="8306"/>
      </w:tabs>
      <w:jc w:val="left"/>
    </w:pPr>
    <w:rPr>
      <w:sz w:val="18"/>
      <w:szCs w:val="18"/>
    </w:rPr>
  </w:style>
  <w:style w:type="paragraph" w:styleId="6">
    <w:name w:val="header"/>
    <w:basedOn w:val="1"/>
    <w:link w:val="22"/>
    <w:qFormat/>
    <w:uiPriority w:val="0"/>
    <w:pPr>
      <w:tabs>
        <w:tab w:val="center" w:pos="4153"/>
        <w:tab w:val="right" w:pos="8306"/>
      </w:tabs>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Strong"/>
    <w:link w:val="1"/>
    <w:qFormat/>
    <w:uiPriority w:val="0"/>
    <w:rPr>
      <w:b/>
    </w:rPr>
  </w:style>
  <w:style w:type="character" w:styleId="11">
    <w:name w:val="page number"/>
    <w:basedOn w:val="9"/>
    <w:link w:val="1"/>
    <w:qFormat/>
    <w:uiPriority w:val="99"/>
    <w:rPr>
      <w:rFonts w:cs="Times New Roman"/>
    </w:rPr>
  </w:style>
  <w:style w:type="character" w:styleId="12">
    <w:name w:val="Emphasis"/>
    <w:basedOn w:val="9"/>
    <w:link w:val="1"/>
    <w:qFormat/>
    <w:uiPriority w:val="0"/>
    <w:rPr>
      <w:i/>
    </w:rPr>
  </w:style>
  <w:style w:type="paragraph" w:customStyle="1" w:styleId="13">
    <w:name w:val="正文文本缩进 21"/>
    <w:basedOn w:val="1"/>
    <w:qFormat/>
    <w:uiPriority w:val="0"/>
    <w:pPr>
      <w:spacing w:after="120" w:line="480" w:lineRule="auto"/>
      <w:ind w:left="200" w:leftChars="200"/>
    </w:pPr>
    <w:rPr>
      <w:rFonts w:ascii="Calibri" w:hAnsi="Calibri" w:eastAsia="宋体" w:cs="Times New Roman"/>
    </w:rPr>
  </w:style>
  <w:style w:type="character" w:customStyle="1" w:styleId="14">
    <w:name w:val="font41"/>
    <w:link w:val="1"/>
    <w:qFormat/>
    <w:uiPriority w:val="0"/>
    <w:rPr>
      <w:rFonts w:hint="eastAsia" w:ascii="宋体" w:hAnsi="宋体" w:eastAsia="宋体" w:cs="宋体"/>
      <w:color w:val="000000"/>
      <w:sz w:val="21"/>
      <w:szCs w:val="21"/>
      <w:u w:val="none"/>
    </w:rPr>
  </w:style>
  <w:style w:type="paragraph" w:customStyle="1" w:styleId="15">
    <w:name w:val="Table Paragraph"/>
    <w:basedOn w:val="1"/>
    <w:qFormat/>
    <w:uiPriority w:val="1"/>
  </w:style>
  <w:style w:type="character" w:customStyle="1" w:styleId="16">
    <w:name w:val="页脚 字符"/>
    <w:link w:val="5"/>
    <w:qFormat/>
    <w:uiPriority w:val="0"/>
    <w:rPr>
      <w:rFonts w:ascii="Calibri" w:hAnsi="Calibri"/>
      <w:kern w:val="2"/>
      <w:sz w:val="18"/>
      <w:szCs w:val="18"/>
    </w:rPr>
  </w:style>
  <w:style w:type="character" w:customStyle="1" w:styleId="17">
    <w:name w:val="font31"/>
    <w:link w:val="1"/>
    <w:qFormat/>
    <w:uiPriority w:val="0"/>
    <w:rPr>
      <w:rFonts w:hint="eastAsia" w:ascii="仿宋_GB2312" w:eastAsia="仿宋_GB2312" w:cs="仿宋_GB2312"/>
      <w:color w:val="000000"/>
      <w:sz w:val="21"/>
      <w:szCs w:val="21"/>
      <w:u w:val="none"/>
    </w:rPr>
  </w:style>
  <w:style w:type="paragraph" w:customStyle="1" w:styleId="18">
    <w:name w:val="_Style 16"/>
    <w:qFormat/>
    <w:uiPriority w:val="0"/>
    <w:pPr>
      <w:autoSpaceDE/>
      <w:autoSpaceDN/>
      <w:snapToGrid/>
      <w:spacing w:before="120" w:after="120" w:line="288" w:lineRule="auto"/>
    </w:pPr>
    <w:rPr>
      <w:rFonts w:ascii="Arial" w:hAnsi="Arial" w:eastAsia="等线" w:cs="Arial"/>
      <w:kern w:val="2"/>
      <w:sz w:val="22"/>
      <w:szCs w:val="22"/>
      <w:lang w:val="en-US" w:eastAsia="zh-CN" w:bidi="ar-SA"/>
    </w:rPr>
  </w:style>
  <w:style w:type="character" w:customStyle="1" w:styleId="19">
    <w:name w:val="font21"/>
    <w:link w:val="1"/>
    <w:qFormat/>
    <w:uiPriority w:val="0"/>
    <w:rPr>
      <w:rFonts w:ascii="Times New Roman" w:hAnsi="Times New Roman" w:cs="Times New Roman"/>
      <w:color w:val="000000"/>
      <w:sz w:val="21"/>
      <w:szCs w:val="21"/>
      <w:u w:val="none"/>
    </w:rPr>
  </w:style>
  <w:style w:type="paragraph" w:customStyle="1" w:styleId="20">
    <w:name w:val="_Style 13"/>
    <w:qFormat/>
    <w:uiPriority w:val="0"/>
    <w:pPr>
      <w:autoSpaceDE/>
      <w:autoSpaceDN/>
      <w:snapToGrid/>
      <w:spacing w:before="120" w:after="120" w:line="288" w:lineRule="auto"/>
    </w:pPr>
    <w:rPr>
      <w:rFonts w:ascii="Arial" w:hAnsi="Arial" w:eastAsia="等线" w:cs="Arial"/>
      <w:kern w:val="2"/>
      <w:sz w:val="22"/>
      <w:szCs w:val="22"/>
      <w:lang w:val="en-US" w:eastAsia="zh-CN" w:bidi="ar-SA"/>
    </w:rPr>
  </w:style>
  <w:style w:type="table" w:customStyle="1" w:styleId="21">
    <w:name w:val="Table Normal"/>
    <w:unhideWhenUsed/>
    <w:qFormat/>
    <w:uiPriority w:val="0"/>
    <w:rPr>
      <w:lang w:val="en-US" w:eastAsia="zh-CN" w:bidi="ar-SA"/>
    </w:rPr>
  </w:style>
  <w:style w:type="character" w:customStyle="1" w:styleId="22">
    <w:name w:val="页眉 字符"/>
    <w:link w:val="6"/>
    <w:qFormat/>
    <w:uiPriority w:val="0"/>
    <w:rPr>
      <w:rFonts w:ascii="Calibri" w:hAnsi="Calibri"/>
      <w:kern w:val="2"/>
      <w:sz w:val="18"/>
      <w:szCs w:val="18"/>
    </w:rPr>
  </w:style>
  <w:style w:type="paragraph" w:customStyle="1" w:styleId="23">
    <w:name w:val="Table Text"/>
    <w:basedOn w:val="1"/>
    <w:semiHidden/>
    <w:qFormat/>
    <w:uiPriority w:val="0"/>
    <w:rPr>
      <w:rFonts w:ascii="仿宋_GB2312" w:hAnsi="仿宋_GB2312" w:eastAsia="仿宋_GB2312" w:cs="仿宋_GB2312"/>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Pages>
  <Words>2455</Words>
  <Characters>2605</Characters>
  <TotalTime>3</TotalTime>
  <ScaleCrop>false</ScaleCrop>
  <LinksUpToDate>false</LinksUpToDate>
  <CharactersWithSpaces>2621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2025-05-30T09:37:00Z</dcterms:created>
  <dc:creator>admin</dc:creator>
  <cp:lastModifiedBy>知味</cp:lastModifiedBy>
  <dcterms:modified xsi:type="dcterms:W3CDTF">2025-05-30T06:56:48Z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eyJoZGlkIjoiMDExMTk1Nzk3ZjU5M2U5NjY2MzZhNTNlMDdlZGE0NDUiLCJ1c2VySWQiOiI2NTk0NjI3OTgifQ==</vt:lpwstr>
  </property>
  <property fmtid="{D5CDD505-2E9C-101B-9397-08002B2CF9AE}" pid="3" name="KSOProductBuildVer">
    <vt:lpwstr>2052-12.1.0.21171</vt:lpwstr>
  </property>
  <property fmtid="{D5CDD505-2E9C-101B-9397-08002B2CF9AE}" pid="4" name="ICV">
    <vt:lpwstr>5B59D39666A1445288226F9602A7026C_13</vt:lpwstr>
  </property>
</Properties>
</file>