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DC674">
      <w:pPr>
        <w:snapToGrid w:val="0"/>
        <w:spacing w:line="7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昆山市气象局2025年度</w:t>
      </w:r>
    </w:p>
    <w:p w14:paraId="4264652D">
      <w:pPr>
        <w:snapToGrid w:val="0"/>
        <w:spacing w:line="7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 xml:space="preserve">行政执法检查工作计划 </w:t>
      </w:r>
    </w:p>
    <w:p w14:paraId="73A82B49">
      <w:pPr>
        <w:snapToGrid w:val="0"/>
        <w:spacing w:line="310" w:lineRule="exact"/>
        <w:jc w:val="center"/>
        <w:rPr>
          <w:rFonts w:ascii="仿宋_GB2312"/>
          <w:spacing w:val="-6"/>
        </w:rPr>
      </w:pPr>
    </w:p>
    <w:p w14:paraId="6363B030">
      <w:pPr>
        <w:ind w:firstLine="632" w:firstLineChars="200"/>
        <w:rPr>
          <w:color w:val="000000"/>
          <w:szCs w:val="32"/>
        </w:rPr>
      </w:pPr>
      <w:r>
        <w:rPr>
          <w:color w:val="000000"/>
          <w:szCs w:val="32"/>
        </w:rPr>
        <w:t>为</w:t>
      </w:r>
      <w:r>
        <w:rPr>
          <w:rFonts w:hint="eastAsia"/>
          <w:color w:val="000000"/>
          <w:szCs w:val="32"/>
        </w:rPr>
        <w:t>全面</w:t>
      </w:r>
      <w:r>
        <w:rPr>
          <w:color w:val="000000"/>
          <w:szCs w:val="32"/>
        </w:rPr>
        <w:t>学习贯彻党的二十大</w:t>
      </w:r>
      <w:r>
        <w:rPr>
          <w:rFonts w:hint="eastAsia"/>
          <w:color w:val="000000"/>
          <w:szCs w:val="32"/>
        </w:rPr>
        <w:t>和二十届二中、三中全会</w:t>
      </w:r>
      <w:r>
        <w:rPr>
          <w:color w:val="000000"/>
          <w:szCs w:val="32"/>
        </w:rPr>
        <w:t>精神，</w:t>
      </w:r>
      <w:r>
        <w:rPr>
          <w:rFonts w:hint="eastAsia"/>
          <w:color w:val="000000"/>
          <w:szCs w:val="32"/>
        </w:rPr>
        <w:t>深入贯彻习近平法治思想，</w:t>
      </w:r>
      <w:r>
        <w:rPr>
          <w:color w:val="000000"/>
          <w:szCs w:val="32"/>
        </w:rPr>
        <w:t>认真落实市委市政府和</w:t>
      </w:r>
      <w:r>
        <w:rPr>
          <w:rFonts w:hint="eastAsia"/>
          <w:color w:val="000000"/>
          <w:szCs w:val="32"/>
        </w:rPr>
        <w:t>上级</w:t>
      </w:r>
      <w:r>
        <w:rPr>
          <w:color w:val="000000"/>
          <w:szCs w:val="32"/>
        </w:rPr>
        <w:t>气象</w:t>
      </w:r>
      <w:r>
        <w:rPr>
          <w:rFonts w:hint="eastAsia"/>
          <w:color w:val="000000"/>
          <w:szCs w:val="32"/>
        </w:rPr>
        <w:t>部门</w:t>
      </w:r>
      <w:r>
        <w:rPr>
          <w:color w:val="000000"/>
          <w:szCs w:val="32"/>
        </w:rPr>
        <w:t>关于推进气象法治建设工作部署，进一步规范气象行政执法行为，提升执法效能，根据《江苏省行政执法监督办法》《中国气象局关于印发〈气象行政执法公示办法〉〈气象行政执法全过程记录办法〉〈气象重大行政执法决定法制审核办法〉的通知》（气发〔2019〕127号）具体要求，结合我市实际，制定本工作计划。</w:t>
      </w:r>
    </w:p>
    <w:p w14:paraId="2CBC6A18">
      <w:pPr>
        <w:ind w:firstLine="632" w:firstLineChars="200"/>
        <w:rPr>
          <w:rFonts w:eastAsia="楷体_GB2312"/>
          <w:snapToGrid w:val="0"/>
          <w:kern w:val="0"/>
        </w:rPr>
      </w:pPr>
      <w:r>
        <w:rPr>
          <w:b/>
          <w:color w:val="000000"/>
          <w:szCs w:val="32"/>
        </w:rPr>
        <w:t>一、雷电防护重点单位执法检查。</w:t>
      </w:r>
      <w:r>
        <w:rPr>
          <w:color w:val="000000"/>
          <w:szCs w:val="32"/>
        </w:rPr>
        <w:t>梳理20</w:t>
      </w:r>
      <w:r>
        <w:rPr>
          <w:rFonts w:hint="eastAsia"/>
          <w:color w:val="000000"/>
          <w:szCs w:val="32"/>
        </w:rPr>
        <w:t>25</w:t>
      </w:r>
      <w:r>
        <w:rPr>
          <w:color w:val="000000"/>
          <w:szCs w:val="32"/>
        </w:rPr>
        <w:t>年度防雷重点单位名录清单，根据上级部门要求</w:t>
      </w:r>
      <w:r>
        <w:rPr>
          <w:snapToGrid w:val="0"/>
          <w:kern w:val="0"/>
        </w:rPr>
        <w:t>，实施易燃易爆类重点单位的执法检查“全覆盖”</w:t>
      </w:r>
      <w:r>
        <w:rPr>
          <w:rFonts w:hint="eastAsia"/>
          <w:snapToGrid w:val="0"/>
          <w:kern w:val="0"/>
        </w:rPr>
        <w:t>。进一步推进雷电防护重点单位分类监管，扩大非现场监管比例，</w:t>
      </w:r>
      <w:r>
        <w:rPr>
          <w:snapToGrid w:val="0"/>
          <w:kern w:val="0"/>
        </w:rPr>
        <w:t>全面落实重点单位防雷安全生产主体责任。（时间：</w:t>
      </w:r>
      <w:r>
        <w:rPr>
          <w:rFonts w:hint="eastAsia"/>
          <w:snapToGrid w:val="0"/>
          <w:kern w:val="0"/>
          <w:lang w:val="en-US" w:eastAsia="zh-CN"/>
        </w:rPr>
        <w:t>1月-10月</w:t>
      </w:r>
      <w:r>
        <w:rPr>
          <w:snapToGrid w:val="0"/>
          <w:kern w:val="0"/>
        </w:rPr>
        <w:t>）</w:t>
      </w:r>
    </w:p>
    <w:p w14:paraId="75ACB908">
      <w:pPr>
        <w:snapToGrid w:val="0"/>
        <w:ind w:firstLine="630"/>
        <w:rPr>
          <w:rFonts w:hint="eastAsia" w:eastAsia="楷体_GB2312"/>
          <w:snapToGrid w:val="0"/>
          <w:kern w:val="0"/>
        </w:rPr>
      </w:pPr>
      <w:r>
        <w:rPr>
          <w:rFonts w:hint="eastAsia"/>
          <w:b/>
          <w:color w:val="000000"/>
          <w:szCs w:val="32"/>
        </w:rPr>
        <w:t>二、</w:t>
      </w:r>
      <w:r>
        <w:rPr>
          <w:b/>
          <w:color w:val="000000"/>
          <w:szCs w:val="32"/>
        </w:rPr>
        <w:t>对雷电防护装置检测资质单位执法检查。</w:t>
      </w:r>
      <w:r>
        <w:rPr>
          <w:snapToGrid w:val="0"/>
          <w:kern w:val="0"/>
        </w:rPr>
        <w:t>全面推进雷电防护装置检测资质单位信用风险分级分类监管，</w:t>
      </w:r>
      <w:r>
        <w:rPr>
          <w:rFonts w:hint="eastAsia" w:ascii="仿宋_GB2312"/>
          <w:snapToGrid w:val="0"/>
          <w:kern w:val="0"/>
        </w:rPr>
        <w:t>扎实推进江苏省防雷检测智能监管平台的应用</w:t>
      </w:r>
      <w:r>
        <w:rPr>
          <w:snapToGrid w:val="0"/>
          <w:kern w:val="0"/>
        </w:rPr>
        <w:t>。对于检查中发现的违法违规行为，及时立案查处，依法依规处罚，同时纳入市信用信息管理平台，并将相关情况上报</w:t>
      </w:r>
      <w:r>
        <w:rPr>
          <w:rFonts w:hint="eastAsia"/>
          <w:snapToGrid w:val="0"/>
          <w:kern w:val="0"/>
        </w:rPr>
        <w:t>上级部门</w:t>
      </w:r>
      <w:r>
        <w:rPr>
          <w:snapToGrid w:val="0"/>
          <w:kern w:val="0"/>
        </w:rPr>
        <w:t>。（时间：</w:t>
      </w:r>
      <w:r>
        <w:rPr>
          <w:rFonts w:hint="eastAsia"/>
          <w:snapToGrid w:val="0"/>
          <w:kern w:val="0"/>
          <w:lang w:eastAsia="zh-CN"/>
        </w:rPr>
        <w:t>全年</w:t>
      </w:r>
      <w:r>
        <w:rPr>
          <w:snapToGrid w:val="0"/>
          <w:kern w:val="0"/>
        </w:rPr>
        <w:t>）</w:t>
      </w:r>
    </w:p>
    <w:p w14:paraId="3F0A7F61">
      <w:pPr>
        <w:snapToGrid w:val="0"/>
        <w:ind w:firstLine="630"/>
        <w:rPr>
          <w:snapToGrid w:val="0"/>
          <w:kern w:val="0"/>
        </w:rPr>
      </w:pPr>
      <w:r>
        <w:rPr>
          <w:rFonts w:hint="eastAsia"/>
          <w:b/>
          <w:color w:val="000000"/>
          <w:szCs w:val="32"/>
        </w:rPr>
        <w:t>三、</w:t>
      </w:r>
      <w:r>
        <w:rPr>
          <w:b/>
          <w:color w:val="000000"/>
          <w:szCs w:val="32"/>
        </w:rPr>
        <w:t>对升放气球单位的执法检查。</w:t>
      </w:r>
      <w:r>
        <w:rPr>
          <w:snapToGrid w:val="0"/>
          <w:kern w:val="0"/>
        </w:rPr>
        <w:t>加强日常检查，实施</w:t>
      </w:r>
      <w:r>
        <w:rPr>
          <w:szCs w:val="32"/>
        </w:rPr>
        <w:t>升放气球“禁氢”日常巡查和重点时段“禁放”，全面推进升放气球单位安全生产主体责任的落实。</w:t>
      </w:r>
      <w:r>
        <w:rPr>
          <w:snapToGrid w:val="0"/>
          <w:kern w:val="0"/>
        </w:rPr>
        <w:t>（时间：</w:t>
      </w:r>
      <w:r>
        <w:rPr>
          <w:rFonts w:hint="eastAsia"/>
          <w:snapToGrid w:val="0"/>
          <w:kern w:val="0"/>
          <w:lang w:val="en-US" w:eastAsia="zh-CN"/>
        </w:rPr>
        <w:t>1</w:t>
      </w:r>
      <w:bookmarkStart w:id="0" w:name="_GoBack"/>
      <w:bookmarkEnd w:id="0"/>
      <w:r>
        <w:rPr>
          <w:snapToGrid w:val="0"/>
          <w:kern w:val="0"/>
        </w:rPr>
        <w:t>月-11月）</w:t>
      </w:r>
    </w:p>
    <w:p w14:paraId="721D87A3">
      <w:pPr>
        <w:adjustRightInd w:val="0"/>
        <w:snapToGrid w:val="0"/>
        <w:spacing w:line="540" w:lineRule="exact"/>
        <w:ind w:firstLine="632" w:firstLineChars="200"/>
        <w:rPr>
          <w:szCs w:val="32"/>
        </w:rPr>
      </w:pPr>
      <w:r>
        <w:rPr>
          <w:rFonts w:hint="eastAsia"/>
          <w:b/>
          <w:color w:val="000000"/>
          <w:szCs w:val="32"/>
        </w:rPr>
        <w:t>四、“双随机”</w:t>
      </w:r>
      <w:r>
        <w:rPr>
          <w:b/>
          <w:color w:val="000000"/>
          <w:szCs w:val="32"/>
        </w:rPr>
        <w:t>联合执法检查</w:t>
      </w:r>
      <w:r>
        <w:rPr>
          <w:rFonts w:hint="eastAsia"/>
          <w:b/>
          <w:color w:val="000000"/>
          <w:szCs w:val="32"/>
        </w:rPr>
        <w:t>和“综合查一次”执法检查</w:t>
      </w:r>
      <w:r>
        <w:rPr>
          <w:b/>
          <w:color w:val="000000"/>
          <w:szCs w:val="32"/>
        </w:rPr>
        <w:t>。</w:t>
      </w:r>
      <w:r>
        <w:rPr>
          <w:rFonts w:hint="eastAsia"/>
          <w:snapToGrid w:val="0"/>
          <w:kern w:val="0"/>
        </w:rPr>
        <w:t>不断深化“综合查一次”改革，积极</w:t>
      </w:r>
      <w:r>
        <w:rPr>
          <w:snapToGrid w:val="0"/>
          <w:kern w:val="0"/>
        </w:rPr>
        <w:t>开展</w:t>
      </w:r>
      <w:r>
        <w:rPr>
          <w:rFonts w:hint="eastAsia"/>
          <w:snapToGrid w:val="0"/>
          <w:kern w:val="0"/>
        </w:rPr>
        <w:t>“双随机”</w:t>
      </w:r>
      <w:r>
        <w:rPr>
          <w:snapToGrid w:val="0"/>
          <w:kern w:val="0"/>
        </w:rPr>
        <w:t>联合执法检查</w:t>
      </w:r>
      <w:r>
        <w:rPr>
          <w:rFonts w:hint="eastAsia"/>
          <w:snapToGrid w:val="0"/>
          <w:kern w:val="0"/>
        </w:rPr>
        <w:t>，持续规范涉企行政检查</w:t>
      </w:r>
      <w:r>
        <w:rPr>
          <w:snapToGrid w:val="0"/>
          <w:kern w:val="0"/>
        </w:rPr>
        <w:t>。对执法检查过程发现的不落实有关法律法规、拒检、拒查、不在规定期限内整改或整改不到位等违法行为，</w:t>
      </w:r>
      <w:r>
        <w:rPr>
          <w:szCs w:val="32"/>
        </w:rPr>
        <w:t>依法予以查处，并报本级政府和相关管理部门。</w:t>
      </w:r>
      <w:r>
        <w:rPr>
          <w:snapToGrid w:val="0"/>
          <w:kern w:val="0"/>
        </w:rPr>
        <w:t>（时间：4月-11月）</w:t>
      </w:r>
    </w:p>
    <w:p w14:paraId="5F840316">
      <w:pPr>
        <w:snapToGrid w:val="0"/>
        <w:ind w:firstLine="630"/>
        <w:rPr>
          <w:snapToGrid w:val="0"/>
          <w:kern w:val="0"/>
        </w:rPr>
      </w:pPr>
      <w:r>
        <w:rPr>
          <w:rFonts w:hint="eastAsia"/>
          <w:b/>
          <w:color w:val="000000"/>
          <w:szCs w:val="32"/>
        </w:rPr>
        <w:t>五、其他气象执法检查。</w:t>
      </w:r>
      <w:r>
        <w:rPr>
          <w:rFonts w:hint="eastAsia"/>
          <w:snapToGrid w:val="0"/>
          <w:kern w:val="0"/>
        </w:rPr>
        <w:t>加强气象信息服务、气象设施和探测环境保护等方面的检查巡查，对于检查中发现的违法违规行为，及时立案查处，依法依规处罚。（时间：全年）</w:t>
      </w:r>
    </w:p>
    <w:p w14:paraId="42E76B11">
      <w:pPr>
        <w:ind w:firstLine="632" w:firstLineChars="200"/>
        <w:rPr>
          <w:szCs w:val="32"/>
        </w:rPr>
      </w:pPr>
    </w:p>
    <w:sectPr>
      <w:headerReference r:id="rId7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138" w:right="1531" w:bottom="1132" w:left="1531" w:header="851" w:footer="1491" w:gutter="0"/>
      <w:cols w:space="720" w:num="1"/>
      <w:titlePg/>
      <w:docGrid w:type="linesAndChars" w:linePitch="616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2B918">
    <w:pPr>
      <w:pStyle w:val="5"/>
      <w:framePr w:w="1620" w:wrap="around" w:vAnchor="text" w:hAnchor="page" w:x="8681" w:y="178"/>
      <w:ind w:left="340"/>
      <w:rPr>
        <w:rStyle w:val="10"/>
        <w:rFonts w:hint="eastAsia"/>
        <w:sz w:val="28"/>
      </w:rPr>
    </w:pPr>
    <w:r>
      <w:rPr>
        <w:rStyle w:val="10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 xml:space="preserve"> —</w:t>
    </w:r>
  </w:p>
  <w:p w14:paraId="24B7DD11">
    <w:pPr>
      <w:pStyle w:val="5"/>
      <w:ind w:right="360"/>
      <w:rPr>
        <w:rFonts w:hint="eastAsia"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DFDD9">
    <w:pPr>
      <w:pStyle w:val="5"/>
      <w:framePr w:w="1620" w:wrap="around" w:vAnchor="text" w:hAnchor="page" w:x="1581" w:y="218"/>
      <w:spacing w:line="280" w:lineRule="exact"/>
      <w:ind w:left="340"/>
      <w:rPr>
        <w:rStyle w:val="10"/>
        <w:rFonts w:hint="eastAsia"/>
        <w:sz w:val="28"/>
      </w:rPr>
    </w:pPr>
    <w:r>
      <w:rPr>
        <w:rStyle w:val="10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 xml:space="preserve"> —</w:t>
    </w:r>
  </w:p>
  <w:p w14:paraId="373D75BA">
    <w:pPr>
      <w:pStyle w:val="5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26E50F"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9F7926"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7B192A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evenAndOddHeaders w:val="1"/>
  <w:drawingGridHorizontalSpacing w:val="158"/>
  <w:drawingGridVerticalSpacing w:val="308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UwMzUxYTBhNTE2MWE3Yzk0Yjg3NWIwMGYwMzVhMzAifQ=="/>
  </w:docVars>
  <w:rsids>
    <w:rsidRoot w:val="00172A27"/>
    <w:rsid w:val="00001E3E"/>
    <w:rsid w:val="00004F06"/>
    <w:rsid w:val="0001271B"/>
    <w:rsid w:val="0001698F"/>
    <w:rsid w:val="00021F74"/>
    <w:rsid w:val="00034115"/>
    <w:rsid w:val="00051C3B"/>
    <w:rsid w:val="00053175"/>
    <w:rsid w:val="00056F61"/>
    <w:rsid w:val="00065372"/>
    <w:rsid w:val="0009325B"/>
    <w:rsid w:val="000B28A7"/>
    <w:rsid w:val="000B695E"/>
    <w:rsid w:val="000B7772"/>
    <w:rsid w:val="000D5320"/>
    <w:rsid w:val="000E0EEB"/>
    <w:rsid w:val="0011177D"/>
    <w:rsid w:val="00112CCD"/>
    <w:rsid w:val="00120ADF"/>
    <w:rsid w:val="00124C0C"/>
    <w:rsid w:val="00132E0C"/>
    <w:rsid w:val="001333F4"/>
    <w:rsid w:val="00150207"/>
    <w:rsid w:val="00154853"/>
    <w:rsid w:val="001607F7"/>
    <w:rsid w:val="00161387"/>
    <w:rsid w:val="001841FE"/>
    <w:rsid w:val="001915E2"/>
    <w:rsid w:val="00191C85"/>
    <w:rsid w:val="00194A12"/>
    <w:rsid w:val="001A76B5"/>
    <w:rsid w:val="001B2E32"/>
    <w:rsid w:val="001B50DD"/>
    <w:rsid w:val="002026B1"/>
    <w:rsid w:val="00215174"/>
    <w:rsid w:val="00215F2D"/>
    <w:rsid w:val="0021695B"/>
    <w:rsid w:val="0023528A"/>
    <w:rsid w:val="00242527"/>
    <w:rsid w:val="002561D2"/>
    <w:rsid w:val="00260531"/>
    <w:rsid w:val="00261F59"/>
    <w:rsid w:val="0028020A"/>
    <w:rsid w:val="00297F95"/>
    <w:rsid w:val="002A3979"/>
    <w:rsid w:val="002B44CF"/>
    <w:rsid w:val="002D73BA"/>
    <w:rsid w:val="002F005D"/>
    <w:rsid w:val="002F4326"/>
    <w:rsid w:val="002F5C15"/>
    <w:rsid w:val="003121E3"/>
    <w:rsid w:val="003125B8"/>
    <w:rsid w:val="00315BD4"/>
    <w:rsid w:val="003411D4"/>
    <w:rsid w:val="00342F44"/>
    <w:rsid w:val="003542B9"/>
    <w:rsid w:val="0036174C"/>
    <w:rsid w:val="003635B7"/>
    <w:rsid w:val="003815E1"/>
    <w:rsid w:val="0038534A"/>
    <w:rsid w:val="00387705"/>
    <w:rsid w:val="00390E6E"/>
    <w:rsid w:val="003C403A"/>
    <w:rsid w:val="003E18EF"/>
    <w:rsid w:val="003E3171"/>
    <w:rsid w:val="003F1982"/>
    <w:rsid w:val="003F759B"/>
    <w:rsid w:val="00405790"/>
    <w:rsid w:val="004164ED"/>
    <w:rsid w:val="00420A99"/>
    <w:rsid w:val="004363B2"/>
    <w:rsid w:val="00441C14"/>
    <w:rsid w:val="004467EE"/>
    <w:rsid w:val="00473612"/>
    <w:rsid w:val="00483584"/>
    <w:rsid w:val="004913D2"/>
    <w:rsid w:val="00493E8C"/>
    <w:rsid w:val="004A7457"/>
    <w:rsid w:val="004C0914"/>
    <w:rsid w:val="004C3406"/>
    <w:rsid w:val="004D3866"/>
    <w:rsid w:val="004E0EAF"/>
    <w:rsid w:val="0050246C"/>
    <w:rsid w:val="0050727B"/>
    <w:rsid w:val="005119D0"/>
    <w:rsid w:val="005241B3"/>
    <w:rsid w:val="0053401B"/>
    <w:rsid w:val="00570C3D"/>
    <w:rsid w:val="00583F1B"/>
    <w:rsid w:val="00602AA6"/>
    <w:rsid w:val="00635915"/>
    <w:rsid w:val="00671C2A"/>
    <w:rsid w:val="00672520"/>
    <w:rsid w:val="0068299F"/>
    <w:rsid w:val="006B5A63"/>
    <w:rsid w:val="006B5ADC"/>
    <w:rsid w:val="006C54C8"/>
    <w:rsid w:val="006D365A"/>
    <w:rsid w:val="006D4034"/>
    <w:rsid w:val="006E69E3"/>
    <w:rsid w:val="006F15AD"/>
    <w:rsid w:val="006F3FBA"/>
    <w:rsid w:val="00730D31"/>
    <w:rsid w:val="007609FD"/>
    <w:rsid w:val="007731BA"/>
    <w:rsid w:val="00782671"/>
    <w:rsid w:val="007D3AEC"/>
    <w:rsid w:val="007D54DA"/>
    <w:rsid w:val="007F2B76"/>
    <w:rsid w:val="0081283E"/>
    <w:rsid w:val="00853E9A"/>
    <w:rsid w:val="00854737"/>
    <w:rsid w:val="00867EC3"/>
    <w:rsid w:val="008806F3"/>
    <w:rsid w:val="00887DC5"/>
    <w:rsid w:val="008A4EDC"/>
    <w:rsid w:val="008B1215"/>
    <w:rsid w:val="008B4130"/>
    <w:rsid w:val="008C4A21"/>
    <w:rsid w:val="009003B6"/>
    <w:rsid w:val="00903653"/>
    <w:rsid w:val="00944853"/>
    <w:rsid w:val="00956F45"/>
    <w:rsid w:val="009D0EA7"/>
    <w:rsid w:val="009D6D46"/>
    <w:rsid w:val="009F06D4"/>
    <w:rsid w:val="00A168F5"/>
    <w:rsid w:val="00A4222A"/>
    <w:rsid w:val="00A51DB1"/>
    <w:rsid w:val="00A70B6F"/>
    <w:rsid w:val="00A7254D"/>
    <w:rsid w:val="00A95115"/>
    <w:rsid w:val="00A9708E"/>
    <w:rsid w:val="00AA0E61"/>
    <w:rsid w:val="00AB6688"/>
    <w:rsid w:val="00AC289F"/>
    <w:rsid w:val="00AD12C6"/>
    <w:rsid w:val="00AD1420"/>
    <w:rsid w:val="00AE0FF8"/>
    <w:rsid w:val="00AF76E0"/>
    <w:rsid w:val="00B20204"/>
    <w:rsid w:val="00B32724"/>
    <w:rsid w:val="00B32F8F"/>
    <w:rsid w:val="00B36C52"/>
    <w:rsid w:val="00B45718"/>
    <w:rsid w:val="00B67E0E"/>
    <w:rsid w:val="00B95777"/>
    <w:rsid w:val="00B96F65"/>
    <w:rsid w:val="00BA2615"/>
    <w:rsid w:val="00BA36DC"/>
    <w:rsid w:val="00BC1912"/>
    <w:rsid w:val="00BD771E"/>
    <w:rsid w:val="00BF416A"/>
    <w:rsid w:val="00C22DEF"/>
    <w:rsid w:val="00C22EEB"/>
    <w:rsid w:val="00C318D7"/>
    <w:rsid w:val="00C416A7"/>
    <w:rsid w:val="00C51FDE"/>
    <w:rsid w:val="00C56501"/>
    <w:rsid w:val="00CB677C"/>
    <w:rsid w:val="00CC173D"/>
    <w:rsid w:val="00CD00FC"/>
    <w:rsid w:val="00CD4634"/>
    <w:rsid w:val="00D016D7"/>
    <w:rsid w:val="00D249FB"/>
    <w:rsid w:val="00D413A6"/>
    <w:rsid w:val="00D608D2"/>
    <w:rsid w:val="00D633C2"/>
    <w:rsid w:val="00D81744"/>
    <w:rsid w:val="00D876FA"/>
    <w:rsid w:val="00DA07DE"/>
    <w:rsid w:val="00DC16A3"/>
    <w:rsid w:val="00DE7DD8"/>
    <w:rsid w:val="00E16FC6"/>
    <w:rsid w:val="00E26EEA"/>
    <w:rsid w:val="00E35FDD"/>
    <w:rsid w:val="00E90639"/>
    <w:rsid w:val="00EA267D"/>
    <w:rsid w:val="00EB12C8"/>
    <w:rsid w:val="00EB1E6B"/>
    <w:rsid w:val="00ED1353"/>
    <w:rsid w:val="00EE57B2"/>
    <w:rsid w:val="00F2355F"/>
    <w:rsid w:val="00F30A74"/>
    <w:rsid w:val="00F4288B"/>
    <w:rsid w:val="00F53E60"/>
    <w:rsid w:val="00F64D53"/>
    <w:rsid w:val="00F80C93"/>
    <w:rsid w:val="00FA4245"/>
    <w:rsid w:val="00FB7EF0"/>
    <w:rsid w:val="00FE6610"/>
    <w:rsid w:val="00FF65FA"/>
    <w:rsid w:val="3B6062E2"/>
    <w:rsid w:val="607D6D70"/>
    <w:rsid w:val="683E5967"/>
    <w:rsid w:val="68C742B1"/>
    <w:rsid w:val="6F393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nhideWhenUsed="0" w:uiPriority="0" w:semiHidden="0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9">
    <w:name w:val="Default Paragraph Font"/>
    <w:uiPriority w:val="0"/>
  </w:style>
  <w:style w:type="table" w:default="1" w:styleId="7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uiPriority w:val="0"/>
    <w:pPr>
      <w:shd w:val="clear" w:color="auto" w:fill="000080"/>
    </w:pPr>
  </w:style>
  <w:style w:type="paragraph" w:styleId="3">
    <w:name w:val="Date"/>
    <w:basedOn w:val="1"/>
    <w:next w:val="1"/>
    <w:qFormat/>
    <w:uiPriority w:val="0"/>
    <w:rPr>
      <w:rFonts w:ascii="仿宋_GB2312"/>
    </w:rPr>
  </w:style>
  <w:style w:type="paragraph" w:styleId="4">
    <w:name w:val="Balloon Text"/>
    <w:basedOn w:val="1"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uiPriority w:val="0"/>
  </w:style>
  <w:style w:type="character" w:styleId="11">
    <w:name w:val="line number"/>
    <w:uiPriority w:val="0"/>
  </w:style>
  <w:style w:type="character" w:styleId="12">
    <w:name w:val="Hyperlink"/>
    <w:unhideWhenUsed/>
    <w:uiPriority w:val="99"/>
    <w:rPr>
      <w:color w:val="0000FF"/>
      <w:u w:val="single"/>
    </w:rPr>
  </w:style>
  <w:style w:type="paragraph" w:customStyle="1" w:styleId="13">
    <w:name w:val=" Char"/>
    <w:basedOn w:val="2"/>
    <w:qFormat/>
    <w:uiPriority w:val="0"/>
    <w:pPr>
      <w:spacing w:line="240" w:lineRule="auto"/>
    </w:pPr>
    <w:rPr>
      <w:rFonts w:ascii="Tahoma" w:hAnsi="Tahoma" w:eastAsia="宋体" w:cs="Tahoma"/>
      <w:sz w:val="24"/>
      <w:szCs w:val="24"/>
    </w:rPr>
  </w:style>
  <w:style w:type="paragraph" w:customStyle="1" w:styleId="14">
    <w:name w:val="正文2"/>
    <w:basedOn w:val="1"/>
    <w:qFormat/>
    <w:uiPriority w:val="99"/>
    <w:pPr>
      <w:snapToGrid w:val="0"/>
      <w:spacing w:line="500" w:lineRule="exact"/>
    </w:pPr>
    <w:rPr>
      <w:sz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778</Words>
  <Characters>797</Characters>
  <Lines>5</Lines>
  <Paragraphs>1</Paragraphs>
  <TotalTime>6</TotalTime>
  <ScaleCrop>false</ScaleCrop>
  <LinksUpToDate>false</LinksUpToDate>
  <CharactersWithSpaces>798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2025-05-20T05:36:00Z</dcterms:created>
  <dc:creator>admin</dc:creator>
  <cp:lastModifiedBy>吴昆朋</cp:lastModifiedBy>
  <cp:lastPrinted>2025-03-25T07:23:00Z</cp:lastPrinted>
  <dcterms:modified xsi:type="dcterms:W3CDTF">2025-05-20T05:47:01Z</dcterms:modified>
  <dc:title>气发〔2001〕×号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896C96A50A2D4CA3A0D34B0FF233C3C9_13</vt:lpwstr>
  </property>
  <property fmtid="{D5CDD505-2E9C-101B-9397-08002B2CF9AE}" pid="4" name="KSOTemplateDocerSaveRecord">
    <vt:lpwstr>eyJoZGlkIjoiYmE3YmE4MGVkNGFkNzVlMzlmMjAzYWIyZjI4MGRlYmIifQ==</vt:lpwstr>
  </property>
</Properties>
</file>