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87"/>
        <w:gridCol w:w="4573"/>
        <w:gridCol w:w="3612"/>
        <w:gridCol w:w="1743"/>
        <w:gridCol w:w="3359"/>
      </w:tblGrid>
      <w:tr w14:paraId="2E49B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5000" w:type="pct"/>
            <w:gridSpan w:val="5"/>
            <w:tcBorders>
              <w:top w:val="nil"/>
              <w:left w:val="nil"/>
              <w:bottom w:val="nil"/>
              <w:right w:val="nil"/>
            </w:tcBorders>
            <w:noWrap/>
            <w:vAlign w:val="center"/>
          </w:tcPr>
          <w:p w14:paraId="5F65B42D">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40"/>
                <w:szCs w:val="40"/>
                <w:u w:val="none"/>
              </w:rPr>
            </w:pPr>
            <w:r>
              <w:rPr>
                <w:rFonts w:hint="eastAsia" w:ascii="方正小标宋_GBK" w:hAnsi="方正小标宋_GBK" w:eastAsia="方正小标宋_GBK" w:cs="方正小标宋_GBK"/>
                <w:i w:val="0"/>
                <w:iCs w:val="0"/>
                <w:color w:val="000000"/>
                <w:kern w:val="0"/>
                <w:sz w:val="40"/>
                <w:szCs w:val="40"/>
                <w:u w:val="none"/>
                <w:lang w:val="en-US" w:eastAsia="zh-CN" w:bidi="ar"/>
              </w:rPr>
              <w:t>昆山市财政局2025年度行政检查计划</w:t>
            </w:r>
          </w:p>
        </w:tc>
      </w:tr>
      <w:tr w14:paraId="07F26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313" w:type="pct"/>
            <w:tcBorders>
              <w:top w:val="single" w:color="000000" w:sz="4" w:space="0"/>
              <w:left w:val="single" w:color="000000" w:sz="4" w:space="0"/>
              <w:bottom w:val="single" w:color="000000" w:sz="4" w:space="0"/>
              <w:right w:val="single" w:color="000000" w:sz="4" w:space="0"/>
            </w:tcBorders>
            <w:noWrap/>
            <w:vAlign w:val="center"/>
          </w:tcPr>
          <w:p w14:paraId="7DF62657">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Style w:val="4"/>
                <w:lang w:val="en-US" w:eastAsia="zh-CN" w:bidi="ar"/>
              </w:rPr>
              <w:t>序号</w:t>
            </w:r>
          </w:p>
        </w:tc>
        <w:tc>
          <w:tcPr>
            <w:tcW w:w="1613" w:type="pct"/>
            <w:tcBorders>
              <w:top w:val="single" w:color="000000" w:sz="4" w:space="0"/>
              <w:left w:val="single" w:color="000000" w:sz="4" w:space="0"/>
              <w:bottom w:val="single" w:color="000000" w:sz="4" w:space="0"/>
              <w:right w:val="single" w:color="000000" w:sz="4" w:space="0"/>
            </w:tcBorders>
            <w:noWrap/>
            <w:vAlign w:val="center"/>
          </w:tcPr>
          <w:p w14:paraId="3180555D">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Style w:val="4"/>
                <w:lang w:val="en-US" w:eastAsia="zh-CN" w:bidi="ar"/>
              </w:rPr>
              <w:t>项</w:t>
            </w:r>
            <w:r>
              <w:rPr>
                <w:rStyle w:val="5"/>
                <w:rFonts w:eastAsia="宋体"/>
                <w:lang w:val="en-US" w:eastAsia="zh-CN" w:bidi="ar"/>
              </w:rPr>
              <w:t xml:space="preserve">             </w:t>
            </w:r>
            <w:r>
              <w:rPr>
                <w:rStyle w:val="4"/>
                <w:lang w:val="en-US" w:eastAsia="zh-CN" w:bidi="ar"/>
              </w:rPr>
              <w:t>目</w:t>
            </w:r>
          </w:p>
        </w:tc>
        <w:tc>
          <w:tcPr>
            <w:tcW w:w="1274" w:type="pct"/>
            <w:tcBorders>
              <w:top w:val="single" w:color="000000" w:sz="4" w:space="0"/>
              <w:left w:val="single" w:color="000000" w:sz="4" w:space="0"/>
              <w:bottom w:val="single" w:color="000000" w:sz="4" w:space="0"/>
              <w:right w:val="single" w:color="000000" w:sz="4" w:space="0"/>
            </w:tcBorders>
            <w:noWrap/>
            <w:vAlign w:val="center"/>
          </w:tcPr>
          <w:p w14:paraId="2F0F1F0D">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Style w:val="4"/>
                <w:lang w:val="en-US" w:eastAsia="zh-CN" w:bidi="ar"/>
              </w:rPr>
              <w:t>检查对象及范围</w:t>
            </w:r>
          </w:p>
        </w:tc>
        <w:tc>
          <w:tcPr>
            <w:tcW w:w="615" w:type="pct"/>
            <w:tcBorders>
              <w:top w:val="single" w:color="000000" w:sz="4" w:space="0"/>
              <w:left w:val="single" w:color="000000" w:sz="4" w:space="0"/>
              <w:bottom w:val="single" w:color="000000" w:sz="4" w:space="0"/>
              <w:right w:val="single" w:color="000000" w:sz="4" w:space="0"/>
            </w:tcBorders>
            <w:noWrap/>
            <w:vAlign w:val="center"/>
          </w:tcPr>
          <w:p w14:paraId="330242FF">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Style w:val="4"/>
                <w:lang w:val="en-US" w:eastAsia="zh-CN" w:bidi="ar"/>
              </w:rPr>
              <w:t>时间安排</w:t>
            </w:r>
          </w:p>
        </w:tc>
        <w:tc>
          <w:tcPr>
            <w:tcW w:w="1183" w:type="pct"/>
            <w:tcBorders>
              <w:top w:val="single" w:color="000000" w:sz="4" w:space="0"/>
              <w:left w:val="single" w:color="000000" w:sz="4" w:space="0"/>
              <w:bottom w:val="single" w:color="000000" w:sz="4" w:space="0"/>
              <w:right w:val="single" w:color="000000" w:sz="4" w:space="0"/>
            </w:tcBorders>
            <w:noWrap/>
            <w:vAlign w:val="center"/>
          </w:tcPr>
          <w:p w14:paraId="1C02B683">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4"/>
                <w:szCs w:val="24"/>
                <w:u w:val="none"/>
              </w:rPr>
            </w:pPr>
            <w:r>
              <w:rPr>
                <w:rStyle w:val="4"/>
                <w:lang w:val="en-US" w:eastAsia="zh-CN" w:bidi="ar"/>
              </w:rPr>
              <w:t>执行部门</w:t>
            </w:r>
          </w:p>
        </w:tc>
      </w:tr>
      <w:tr w14:paraId="4A7DD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9" w:hRule="atLeast"/>
        </w:trPr>
        <w:tc>
          <w:tcPr>
            <w:tcW w:w="313" w:type="pct"/>
            <w:tcBorders>
              <w:top w:val="single" w:color="000000" w:sz="4" w:space="0"/>
              <w:left w:val="single" w:color="000000" w:sz="4" w:space="0"/>
              <w:bottom w:val="single" w:color="000000" w:sz="4" w:space="0"/>
              <w:right w:val="single" w:color="000000" w:sz="4" w:space="0"/>
            </w:tcBorders>
            <w:noWrap/>
            <w:vAlign w:val="center"/>
          </w:tcPr>
          <w:p w14:paraId="60AF6AE1">
            <w:pPr>
              <w:keepNext w:val="0"/>
              <w:keepLines w:val="0"/>
              <w:widowControl/>
              <w:suppressLineNumbers w:val="0"/>
              <w:jc w:val="center"/>
              <w:textAlignment w:val="center"/>
              <w:rPr>
                <w:rFonts w:hint="eastAsia" w:ascii="Times New Roman" w:hAnsi="Times New Roman" w:eastAsia="宋体" w:cs="Times New Roman"/>
                <w:i w:val="0"/>
                <w:iCs w:val="0"/>
                <w:color w:val="000000"/>
                <w:sz w:val="24"/>
                <w:szCs w:val="24"/>
                <w:u w:val="none"/>
                <w:lang w:val="en-US" w:eastAsia="zh-CN"/>
              </w:rPr>
            </w:pPr>
            <w:r>
              <w:rPr>
                <w:rFonts w:hint="eastAsia" w:ascii="Times New Roman" w:hAnsi="Times New Roman" w:eastAsia="宋体" w:cs="Times New Roman"/>
                <w:i w:val="0"/>
                <w:iCs w:val="0"/>
                <w:color w:val="000000"/>
                <w:sz w:val="24"/>
                <w:szCs w:val="24"/>
                <w:u w:val="none"/>
                <w:lang w:val="en-US" w:eastAsia="zh-CN"/>
              </w:rPr>
              <w:t>1</w:t>
            </w:r>
          </w:p>
        </w:tc>
        <w:tc>
          <w:tcPr>
            <w:tcW w:w="1613" w:type="pct"/>
            <w:tcBorders>
              <w:top w:val="single" w:color="000000" w:sz="4" w:space="0"/>
              <w:left w:val="single" w:color="000000" w:sz="4" w:space="0"/>
              <w:bottom w:val="single" w:color="000000" w:sz="4" w:space="0"/>
              <w:right w:val="single" w:color="000000" w:sz="4" w:space="0"/>
            </w:tcBorders>
            <w:noWrap/>
            <w:vAlign w:val="center"/>
          </w:tcPr>
          <w:p w14:paraId="61BCDC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代理记账机构双随机一公开检查</w:t>
            </w:r>
          </w:p>
        </w:tc>
        <w:tc>
          <w:tcPr>
            <w:tcW w:w="1274" w:type="pct"/>
            <w:tcBorders>
              <w:top w:val="single" w:color="000000" w:sz="4" w:space="0"/>
              <w:left w:val="single" w:color="000000" w:sz="4" w:space="0"/>
              <w:bottom w:val="single" w:color="000000" w:sz="4" w:space="0"/>
              <w:right w:val="single" w:color="000000" w:sz="4" w:space="0"/>
            </w:tcBorders>
            <w:noWrap w:val="0"/>
            <w:vAlign w:val="center"/>
          </w:tcPr>
          <w:p w14:paraId="2CC492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代理记账机构；主要是双随机一公开情况</w:t>
            </w:r>
          </w:p>
        </w:tc>
        <w:tc>
          <w:tcPr>
            <w:tcW w:w="615" w:type="pct"/>
            <w:tcBorders>
              <w:top w:val="single" w:color="000000" w:sz="4" w:space="0"/>
              <w:left w:val="single" w:color="000000" w:sz="4" w:space="0"/>
              <w:bottom w:val="single" w:color="000000" w:sz="4" w:space="0"/>
              <w:right w:val="single" w:color="000000" w:sz="4" w:space="0"/>
            </w:tcBorders>
            <w:noWrap/>
            <w:vAlign w:val="center"/>
          </w:tcPr>
          <w:p w14:paraId="15B05D0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Style w:val="6"/>
                <w:rFonts w:eastAsia="宋体"/>
                <w:lang w:val="en-US" w:eastAsia="zh-CN" w:bidi="ar"/>
              </w:rPr>
              <w:t>10</w:t>
            </w:r>
            <w:r>
              <w:rPr>
                <w:rStyle w:val="7"/>
                <w:lang w:val="en-US" w:eastAsia="zh-CN" w:bidi="ar"/>
              </w:rPr>
              <w:t>月</w:t>
            </w:r>
            <w:r>
              <w:rPr>
                <w:rStyle w:val="6"/>
                <w:rFonts w:eastAsia="宋体"/>
                <w:lang w:val="en-US" w:eastAsia="zh-CN" w:bidi="ar"/>
              </w:rPr>
              <w:t>-11</w:t>
            </w:r>
            <w:r>
              <w:rPr>
                <w:rStyle w:val="7"/>
                <w:lang w:val="en-US" w:eastAsia="zh-CN" w:bidi="ar"/>
              </w:rPr>
              <w:t>月</w:t>
            </w:r>
          </w:p>
        </w:tc>
        <w:tc>
          <w:tcPr>
            <w:tcW w:w="1183" w:type="pct"/>
            <w:tcBorders>
              <w:top w:val="single" w:color="000000" w:sz="4" w:space="0"/>
              <w:left w:val="single" w:color="000000" w:sz="4" w:space="0"/>
              <w:bottom w:val="single" w:color="000000" w:sz="4" w:space="0"/>
              <w:right w:val="single" w:color="000000" w:sz="4" w:space="0"/>
            </w:tcBorders>
            <w:noWrap/>
            <w:vAlign w:val="center"/>
          </w:tcPr>
          <w:p w14:paraId="0D6B6C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工贸发展科（会计科）</w:t>
            </w:r>
          </w:p>
        </w:tc>
      </w:tr>
      <w:tr w14:paraId="74F21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9" w:hRule="atLeast"/>
        </w:trPr>
        <w:tc>
          <w:tcPr>
            <w:tcW w:w="313" w:type="pct"/>
            <w:tcBorders>
              <w:top w:val="single" w:color="000000" w:sz="4" w:space="0"/>
              <w:left w:val="single" w:color="000000" w:sz="4" w:space="0"/>
              <w:bottom w:val="single" w:color="000000" w:sz="4" w:space="0"/>
              <w:right w:val="single" w:color="000000" w:sz="4" w:space="0"/>
            </w:tcBorders>
            <w:noWrap/>
            <w:vAlign w:val="center"/>
          </w:tcPr>
          <w:p w14:paraId="720BE95D">
            <w:pPr>
              <w:keepNext w:val="0"/>
              <w:keepLines w:val="0"/>
              <w:widowControl/>
              <w:suppressLineNumbers w:val="0"/>
              <w:jc w:val="center"/>
              <w:textAlignment w:val="center"/>
              <w:rPr>
                <w:rFonts w:hint="eastAsia" w:ascii="Times New Roman" w:hAnsi="Times New Roman" w:eastAsia="宋体" w:cs="Times New Roman"/>
                <w:i w:val="0"/>
                <w:iCs w:val="0"/>
                <w:color w:val="000000"/>
                <w:sz w:val="24"/>
                <w:szCs w:val="24"/>
                <w:u w:val="none"/>
                <w:lang w:val="en-US" w:eastAsia="zh-CN"/>
              </w:rPr>
            </w:pPr>
            <w:r>
              <w:rPr>
                <w:rFonts w:hint="eastAsia" w:ascii="Times New Roman" w:hAnsi="Times New Roman" w:eastAsia="宋体" w:cs="Times New Roman"/>
                <w:i w:val="0"/>
                <w:iCs w:val="0"/>
                <w:color w:val="000000"/>
                <w:sz w:val="24"/>
                <w:szCs w:val="24"/>
                <w:u w:val="none"/>
                <w:lang w:val="en-US" w:eastAsia="zh-CN"/>
              </w:rPr>
              <w:t>1</w:t>
            </w:r>
          </w:p>
        </w:tc>
        <w:tc>
          <w:tcPr>
            <w:tcW w:w="1613" w:type="pct"/>
            <w:tcBorders>
              <w:top w:val="single" w:color="000000" w:sz="4" w:space="0"/>
              <w:left w:val="single" w:color="000000" w:sz="4" w:space="0"/>
              <w:bottom w:val="single" w:color="000000" w:sz="4" w:space="0"/>
              <w:right w:val="single" w:color="000000" w:sz="4" w:space="0"/>
            </w:tcBorders>
            <w:noWrap/>
            <w:vAlign w:val="center"/>
          </w:tcPr>
          <w:p w14:paraId="34918D74">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财政扶持资金专项检查</w:t>
            </w:r>
          </w:p>
        </w:tc>
        <w:tc>
          <w:tcPr>
            <w:tcW w:w="1274" w:type="pct"/>
            <w:tcBorders>
              <w:top w:val="single" w:color="000000" w:sz="4" w:space="0"/>
              <w:left w:val="single" w:color="000000" w:sz="4" w:space="0"/>
              <w:bottom w:val="single" w:color="000000" w:sz="4" w:space="0"/>
              <w:right w:val="single" w:color="000000" w:sz="4" w:space="0"/>
            </w:tcBorders>
            <w:noWrap w:val="0"/>
            <w:vAlign w:val="center"/>
          </w:tcPr>
          <w:p w14:paraId="7DEE5A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2</w:t>
            </w:r>
            <w:r>
              <w:rPr>
                <w:rFonts w:hint="eastAsia" w:ascii="宋体" w:hAnsi="宋体" w:cs="宋体"/>
                <w:i w:val="0"/>
                <w:iCs w:val="0"/>
                <w:color w:val="000000"/>
                <w:kern w:val="0"/>
                <w:sz w:val="24"/>
                <w:szCs w:val="24"/>
                <w:u w:val="none"/>
                <w:lang w:val="en-US" w:eastAsia="zh-CN" w:bidi="ar"/>
              </w:rPr>
              <w:t>024年度申报并获得“推动集成电路产业发展”、“加快推进产业转型发展”、“生物医药专项”、“加快创新产业集群集聚”、“文化体育旅游产业专项”五类专项资金扶持的项目，包括市工信局负责的集成电路流片验证项目和新能源汽车推广应用项目、市科技局负责的生物医药产业高质量发展项目、市商务局负责的鼓励在昆外商投资企业增资项目、市文体广旅局负责的影视产业发展项目等</w:t>
            </w:r>
          </w:p>
        </w:tc>
        <w:tc>
          <w:tcPr>
            <w:tcW w:w="615" w:type="pct"/>
            <w:tcBorders>
              <w:top w:val="single" w:color="000000" w:sz="4" w:space="0"/>
              <w:left w:val="single" w:color="000000" w:sz="4" w:space="0"/>
              <w:bottom w:val="single" w:color="000000" w:sz="4" w:space="0"/>
              <w:right w:val="single" w:color="000000" w:sz="4" w:space="0"/>
            </w:tcBorders>
            <w:noWrap/>
            <w:vAlign w:val="center"/>
          </w:tcPr>
          <w:p w14:paraId="5546DF7C">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Style w:val="6"/>
                <w:rFonts w:eastAsia="宋体"/>
                <w:lang w:val="en-US" w:eastAsia="zh-CN" w:bidi="ar"/>
              </w:rPr>
              <w:t>10</w:t>
            </w:r>
            <w:r>
              <w:rPr>
                <w:rStyle w:val="7"/>
                <w:lang w:val="en-US" w:eastAsia="zh-CN" w:bidi="ar"/>
              </w:rPr>
              <w:t>月</w:t>
            </w:r>
            <w:r>
              <w:rPr>
                <w:rStyle w:val="6"/>
                <w:rFonts w:eastAsia="宋体"/>
                <w:lang w:val="en-US" w:eastAsia="zh-CN" w:bidi="ar"/>
              </w:rPr>
              <w:t>-11</w:t>
            </w:r>
            <w:r>
              <w:rPr>
                <w:rStyle w:val="7"/>
                <w:lang w:val="en-US" w:eastAsia="zh-CN" w:bidi="ar"/>
              </w:rPr>
              <w:t>月</w:t>
            </w:r>
          </w:p>
        </w:tc>
        <w:tc>
          <w:tcPr>
            <w:tcW w:w="1183" w:type="pct"/>
            <w:tcBorders>
              <w:top w:val="single" w:color="000000" w:sz="4" w:space="0"/>
              <w:left w:val="single" w:color="000000" w:sz="4" w:space="0"/>
              <w:bottom w:val="single" w:color="000000" w:sz="4" w:space="0"/>
              <w:right w:val="single" w:color="000000" w:sz="4" w:space="0"/>
            </w:tcBorders>
            <w:noWrap/>
            <w:vAlign w:val="center"/>
          </w:tcPr>
          <w:p w14:paraId="07824E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工贸发展科（会计科）</w:t>
            </w:r>
          </w:p>
        </w:tc>
      </w:tr>
    </w:tbl>
    <w:p w14:paraId="0C5AEE51">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607F7D"/>
    <w:rsid w:val="3B32350E"/>
    <w:rsid w:val="71607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71"/>
    <w:basedOn w:val="3"/>
    <w:qFormat/>
    <w:uiPriority w:val="0"/>
    <w:rPr>
      <w:rFonts w:hint="eastAsia" w:ascii="宋体" w:hAnsi="宋体" w:eastAsia="宋体" w:cs="宋体"/>
      <w:b/>
      <w:bCs/>
      <w:color w:val="000000"/>
      <w:sz w:val="24"/>
      <w:szCs w:val="24"/>
      <w:u w:val="none"/>
    </w:rPr>
  </w:style>
  <w:style w:type="character" w:customStyle="1" w:styleId="5">
    <w:name w:val="font41"/>
    <w:basedOn w:val="3"/>
    <w:qFormat/>
    <w:uiPriority w:val="0"/>
    <w:rPr>
      <w:rFonts w:hint="default" w:ascii="Times New Roman" w:hAnsi="Times New Roman" w:cs="Times New Roman"/>
      <w:b/>
      <w:bCs/>
      <w:color w:val="000000"/>
      <w:sz w:val="24"/>
      <w:szCs w:val="24"/>
      <w:u w:val="none"/>
    </w:rPr>
  </w:style>
  <w:style w:type="character" w:customStyle="1" w:styleId="6">
    <w:name w:val="font11"/>
    <w:basedOn w:val="3"/>
    <w:qFormat/>
    <w:uiPriority w:val="0"/>
    <w:rPr>
      <w:rFonts w:hint="default" w:ascii="Times New Roman" w:hAnsi="Times New Roman" w:cs="Times New Roman"/>
      <w:color w:val="000000"/>
      <w:sz w:val="24"/>
      <w:szCs w:val="24"/>
      <w:u w:val="none"/>
    </w:rPr>
  </w:style>
  <w:style w:type="character" w:customStyle="1" w:styleId="7">
    <w:name w:val="font51"/>
    <w:basedOn w:val="3"/>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81</Words>
  <Characters>87</Characters>
  <Lines>0</Lines>
  <Paragraphs>0</Paragraphs>
  <TotalTime>1</TotalTime>
  <ScaleCrop>false</ScaleCrop>
  <LinksUpToDate>false</LinksUpToDate>
  <CharactersWithSpaces>100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2025-05-09T09:08:00Z</dcterms:created>
  <dc:creator>钱晔霏</dc:creator>
  <cp:lastModifiedBy>向曰葵</cp:lastModifiedBy>
  <dcterms:modified xsi:type="dcterms:W3CDTF">2025-09-22T07:05:11Z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9CAED669659444F59E3DF6E3D40443CC_11</vt:lpwstr>
  </property>
  <property fmtid="{D5CDD505-2E9C-101B-9397-08002B2CF9AE}" pid="4" name="KSOTemplateDocerSaveRecord">
    <vt:lpwstr>eyJoZGlkIjoiMjFjYzRhMDZhMDgzYzM3NzUzZDgxYjQ4ZGY3ODBmZjUiLCJ1c2VySWQiOiI2MzAwNjA1MTcifQ==</vt:lpwstr>
  </property>
</Properties>
</file>